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4DBA2025" w14:textId="77777777" w:rsidTr="00876761">
        <w:trPr>
          <w:trHeight w:val="557"/>
        </w:trPr>
        <w:tc>
          <w:tcPr>
            <w:tcW w:w="1906" w:type="dxa"/>
            <w:vMerge w:val="restart"/>
            <w:shd w:val="clear" w:color="auto" w:fill="F5F8FF"/>
            <w:tcMar>
              <w:right w:w="144" w:type="dxa"/>
            </w:tcMar>
          </w:tcPr>
          <w:p w14:paraId="6648393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B6FEEAB" wp14:editId="6023BA3C">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7BC8A3C9"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B4052EC" w14:textId="03174816"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062B16">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r w:rsidR="0015351F">
              <w:rPr>
                <w:rFonts w:asciiTheme="minorHAnsi" w:hAnsiTheme="minorHAnsi" w:cstheme="minorHAnsi"/>
                <w:i/>
                <w:color w:val="365F91" w:themeColor="accent1" w:themeShade="BF"/>
                <w:sz w:val="28"/>
                <w:szCs w:val="36"/>
              </w:rPr>
              <w:t>, Advance Reading #</w:t>
            </w:r>
            <w:r w:rsidR="003C2359">
              <w:rPr>
                <w:rFonts w:asciiTheme="minorHAnsi" w:hAnsiTheme="minorHAnsi" w:cstheme="minorHAnsi"/>
                <w:i/>
                <w:color w:val="365F91" w:themeColor="accent1" w:themeShade="BF"/>
                <w:sz w:val="28"/>
                <w:szCs w:val="36"/>
              </w:rPr>
              <w:t>3</w:t>
            </w:r>
          </w:p>
        </w:tc>
      </w:tr>
      <w:tr w:rsidR="00A25010" w:rsidRPr="004B7872" w14:paraId="1DD2EE47" w14:textId="77777777" w:rsidTr="00876761">
        <w:tc>
          <w:tcPr>
            <w:tcW w:w="1906" w:type="dxa"/>
            <w:vMerge/>
            <w:shd w:val="clear" w:color="auto" w:fill="F5F8FF"/>
          </w:tcPr>
          <w:p w14:paraId="7870014E"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7BEF13AE" w14:textId="01F08AA7" w:rsidR="00A25010" w:rsidRPr="00876761" w:rsidRDefault="00377FCF"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 xml:space="preserve">Primer on </w:t>
            </w:r>
            <w:r w:rsidR="003C2359">
              <w:rPr>
                <w:rFonts w:asciiTheme="minorHAnsi" w:hAnsiTheme="minorHAnsi" w:cstheme="minorHAnsi"/>
                <w:i/>
                <w:color w:val="365F91" w:themeColor="accent1" w:themeShade="BF"/>
                <w:sz w:val="32"/>
                <w:szCs w:val="36"/>
              </w:rPr>
              <w:t>Types of Assessment</w:t>
            </w:r>
          </w:p>
        </w:tc>
      </w:tr>
    </w:tbl>
    <w:p w14:paraId="400BDB35" w14:textId="77777777" w:rsidR="00A25010" w:rsidRDefault="00A25010" w:rsidP="0046480F">
      <w:pPr>
        <w:spacing w:after="0"/>
        <w:rPr>
          <w:sz w:val="20"/>
          <w:szCs w:val="20"/>
        </w:rPr>
      </w:pPr>
    </w:p>
    <w:p w14:paraId="21E549B0" w14:textId="77777777" w:rsidR="00A25010" w:rsidRDefault="00A25010" w:rsidP="0046480F">
      <w:pPr>
        <w:spacing w:after="0"/>
        <w:rPr>
          <w:sz w:val="20"/>
          <w:szCs w:val="20"/>
        </w:rPr>
      </w:pPr>
    </w:p>
    <w:p w14:paraId="744898B6" w14:textId="77777777" w:rsidR="00A25010" w:rsidRDefault="00A25010" w:rsidP="0046480F">
      <w:pPr>
        <w:spacing w:after="0"/>
        <w:rPr>
          <w:sz w:val="20"/>
          <w:szCs w:val="20"/>
        </w:rPr>
      </w:pPr>
    </w:p>
    <w:p w14:paraId="20176BAA" w14:textId="77777777" w:rsidR="00A25010" w:rsidRDefault="00A25010" w:rsidP="0046480F">
      <w:pPr>
        <w:spacing w:after="0"/>
        <w:rPr>
          <w:sz w:val="20"/>
          <w:szCs w:val="20"/>
        </w:rPr>
      </w:pPr>
    </w:p>
    <w:p w14:paraId="3D8A21D0" w14:textId="77777777" w:rsidR="00A25010" w:rsidRDefault="00A25010" w:rsidP="0046480F">
      <w:pPr>
        <w:spacing w:after="0"/>
        <w:rPr>
          <w:sz w:val="20"/>
          <w:szCs w:val="20"/>
        </w:rPr>
      </w:pPr>
    </w:p>
    <w:p w14:paraId="77400638" w14:textId="77777777" w:rsidR="00A25010" w:rsidRPr="007952FA" w:rsidRDefault="00A25010" w:rsidP="0046480F">
      <w:pPr>
        <w:spacing w:after="0"/>
        <w:rPr>
          <w:sz w:val="20"/>
          <w:szCs w:val="20"/>
        </w:rPr>
      </w:pPr>
    </w:p>
    <w:p w14:paraId="6E3B947E" w14:textId="77777777" w:rsidR="00A25010" w:rsidRPr="000D7DC6" w:rsidRDefault="00A25010" w:rsidP="0046480F">
      <w:pPr>
        <w:spacing w:after="0"/>
        <w:jc w:val="center"/>
        <w:rPr>
          <w:rFonts w:asciiTheme="minorHAnsi" w:hAnsiTheme="minorHAnsi" w:cstheme="minorHAnsi"/>
          <w:b/>
          <w:color w:val="4F81BD" w:themeColor="accent1"/>
        </w:rPr>
      </w:pPr>
      <w:r w:rsidRPr="000D7DC6">
        <w:rPr>
          <w:rFonts w:asciiTheme="minorHAnsi" w:hAnsiTheme="minorHAnsi" w:cstheme="minorHAnsi"/>
          <w:b/>
          <w:color w:val="4F81BD" w:themeColor="accent1"/>
        </w:rPr>
        <w:t>Developed By</w:t>
      </w:r>
    </w:p>
    <w:p w14:paraId="7EBC933D" w14:textId="77777777" w:rsidR="00A25010" w:rsidRPr="000D7DC6" w:rsidRDefault="00A25010" w:rsidP="0046480F">
      <w:pPr>
        <w:spacing w:after="0"/>
      </w:pPr>
    </w:p>
    <w:p w14:paraId="236999E7" w14:textId="77777777" w:rsidR="00A25010" w:rsidRPr="000D7DC6" w:rsidRDefault="00A25010" w:rsidP="0046480F">
      <w:pPr>
        <w:spacing w:after="0"/>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0D7DC6" w14:paraId="5BE1067C" w14:textId="77777777" w:rsidTr="0000252F">
        <w:tc>
          <w:tcPr>
            <w:tcW w:w="1367" w:type="pct"/>
            <w:vAlign w:val="center"/>
          </w:tcPr>
          <w:p w14:paraId="2541E772"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Joseph Martineau</w:t>
            </w:r>
          </w:p>
        </w:tc>
        <w:tc>
          <w:tcPr>
            <w:tcW w:w="2948" w:type="pct"/>
            <w:vAlign w:val="center"/>
          </w:tcPr>
          <w:p w14:paraId="6C58C08D"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Senior Associate</w:t>
            </w:r>
          </w:p>
        </w:tc>
        <w:tc>
          <w:tcPr>
            <w:tcW w:w="685" w:type="pct"/>
            <w:vAlign w:val="center"/>
          </w:tcPr>
          <w:p w14:paraId="23DFCDA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5AC7EC4" wp14:editId="5587FF6A">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2048BACE" w14:textId="77777777" w:rsidTr="0000252F">
        <w:tc>
          <w:tcPr>
            <w:tcW w:w="1367" w:type="pct"/>
            <w:vAlign w:val="center"/>
          </w:tcPr>
          <w:p w14:paraId="62C2B131"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Kathy Dewsbury-White</w:t>
            </w:r>
          </w:p>
          <w:p w14:paraId="62147F16"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Ed Roeber</w:t>
            </w:r>
          </w:p>
        </w:tc>
        <w:tc>
          <w:tcPr>
            <w:tcW w:w="2948" w:type="pct"/>
            <w:vAlign w:val="center"/>
          </w:tcPr>
          <w:p w14:paraId="475C6A79"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President &amp; Chief Executive Officer</w:t>
            </w:r>
          </w:p>
          <w:p w14:paraId="3F6D8AFC"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Assessment Director</w:t>
            </w:r>
          </w:p>
        </w:tc>
        <w:tc>
          <w:tcPr>
            <w:tcW w:w="685" w:type="pct"/>
            <w:vAlign w:val="center"/>
          </w:tcPr>
          <w:p w14:paraId="6879B60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D5E7A05" wp14:editId="0C7BFCF8">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0D7DC6" w14:paraId="5CFA2C5A" w14:textId="77777777" w:rsidTr="0000252F">
        <w:tc>
          <w:tcPr>
            <w:tcW w:w="1367" w:type="pct"/>
            <w:vAlign w:val="center"/>
          </w:tcPr>
          <w:p w14:paraId="21333446"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Ellen Vorenkamp</w:t>
            </w:r>
          </w:p>
        </w:tc>
        <w:tc>
          <w:tcPr>
            <w:tcW w:w="2948" w:type="pct"/>
            <w:vAlign w:val="center"/>
          </w:tcPr>
          <w:p w14:paraId="44692730"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Assessment Consultant</w:t>
            </w:r>
          </w:p>
        </w:tc>
        <w:tc>
          <w:tcPr>
            <w:tcW w:w="685" w:type="pct"/>
            <w:vAlign w:val="center"/>
          </w:tcPr>
          <w:p w14:paraId="11113A67"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0BA45FD5" wp14:editId="3BFD2886">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32FA90DF" w14:textId="77777777" w:rsidTr="0000252F">
        <w:tc>
          <w:tcPr>
            <w:tcW w:w="1367" w:type="pct"/>
            <w:vAlign w:val="center"/>
          </w:tcPr>
          <w:p w14:paraId="0484559C"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Steven Snead</w:t>
            </w:r>
          </w:p>
          <w:p w14:paraId="63D4FE23"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Jonathan Flukes</w:t>
            </w:r>
          </w:p>
        </w:tc>
        <w:tc>
          <w:tcPr>
            <w:tcW w:w="2948" w:type="pct"/>
            <w:vAlign w:val="center"/>
          </w:tcPr>
          <w:p w14:paraId="7D2674F4"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Supervisor, Curriculum &amp; Instruction Unit</w:t>
            </w:r>
          </w:p>
          <w:p w14:paraId="4761B897"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Research, Evaluation, &amp; Assessment Consultant</w:t>
            </w:r>
          </w:p>
        </w:tc>
        <w:tc>
          <w:tcPr>
            <w:tcW w:w="685" w:type="pct"/>
            <w:vAlign w:val="center"/>
          </w:tcPr>
          <w:p w14:paraId="0AF34DC1"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7A0874B8" wp14:editId="3172A118">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519497D9" w14:textId="77777777" w:rsidR="00F327CC" w:rsidRPr="000D7DC6" w:rsidRDefault="00F327CC" w:rsidP="008B7D45">
      <w:pPr>
        <w:pStyle w:val="Spacer"/>
      </w:pPr>
    </w:p>
    <w:p w14:paraId="4C923BB2" w14:textId="77777777" w:rsidR="00FB7AD9" w:rsidRDefault="00FB7AD9" w:rsidP="00FB7AD9">
      <w:pPr>
        <w:pStyle w:val="Spacer"/>
      </w:pPr>
      <w:bookmarkStart w:id="1" w:name="_Toc515455048"/>
      <w:bookmarkEnd w:id="0"/>
    </w:p>
    <w:bookmarkEnd w:id="1"/>
    <w:p w14:paraId="2108E9AB"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6DF8FBF7" w14:textId="46161E7F" w:rsidR="00921CDB" w:rsidRPr="00430105" w:rsidRDefault="00DC52D0" w:rsidP="00DC52D0">
      <w:pPr>
        <w:pStyle w:val="Heading1"/>
      </w:pPr>
      <w:r>
        <w:lastRenderedPageBreak/>
        <w:t>Primer on Types of Assessment</w:t>
      </w:r>
    </w:p>
    <w:p w14:paraId="3AB4F174" w14:textId="0BFC6F71" w:rsidR="003C2359" w:rsidRDefault="003C2359" w:rsidP="00430105">
      <w:r>
        <w:t xml:space="preserve">There are two broad types of assessment: </w:t>
      </w:r>
      <w:r w:rsidR="002666AA" w:rsidRPr="009A2BBA">
        <w:rPr>
          <w:i/>
        </w:rPr>
        <w:t>Formative A</w:t>
      </w:r>
      <w:r w:rsidRPr="009A2BBA">
        <w:rPr>
          <w:i/>
        </w:rPr>
        <w:t>ssessment FOR Learning</w:t>
      </w:r>
      <w:r>
        <w:t xml:space="preserve"> and </w:t>
      </w:r>
      <w:r w:rsidRPr="00F24C61">
        <w:rPr>
          <w:i/>
        </w:rPr>
        <w:t>Assessment OF Learning</w:t>
      </w:r>
      <w:r>
        <w:t xml:space="preserve">. At a high level, </w:t>
      </w:r>
      <w:r w:rsidR="00F24C61" w:rsidRPr="009A2BBA">
        <w:rPr>
          <w:i/>
        </w:rPr>
        <w:t xml:space="preserve">Formative Assessment </w:t>
      </w:r>
      <w:r>
        <w:t xml:space="preserve">is focused on </w:t>
      </w:r>
      <w:r w:rsidRPr="009A2BBA">
        <w:rPr>
          <w:i/>
        </w:rPr>
        <w:t>in-the-moment monitoring of student learning</w:t>
      </w:r>
      <w:r w:rsidRPr="00586A0D">
        <w:t xml:space="preserve"> to inform daily instruction. </w:t>
      </w:r>
      <w:r w:rsidRPr="00F24C61">
        <w:rPr>
          <w:i/>
        </w:rPr>
        <w:t>Assessment OF Learning</w:t>
      </w:r>
      <w:r w:rsidRPr="00586A0D">
        <w:t xml:space="preserve"> is focused on </w:t>
      </w:r>
      <w:r w:rsidRPr="00F24C61">
        <w:rPr>
          <w:i/>
        </w:rPr>
        <w:t>unit</w:t>
      </w:r>
      <w:r w:rsidR="002666AA" w:rsidRPr="00F24C61">
        <w:rPr>
          <w:i/>
        </w:rPr>
        <w:t>-based</w:t>
      </w:r>
      <w:r w:rsidRPr="00F24C61">
        <w:rPr>
          <w:i/>
        </w:rPr>
        <w:t xml:space="preserve"> evaluation of student achievement</w:t>
      </w:r>
      <w:r w:rsidRPr="00586A0D">
        <w:t xml:space="preserve"> of the desired</w:t>
      </w:r>
      <w:r>
        <w:t xml:space="preserve"> knowledge and skills</w:t>
      </w:r>
      <w:r w:rsidR="00D0779D">
        <w:t xml:space="preserve"> associated with varying sizes of </w:t>
      </w:r>
      <w:r w:rsidR="002666AA">
        <w:t>unit</w:t>
      </w:r>
      <w:r w:rsidR="00D0779D">
        <w:t>s</w:t>
      </w:r>
      <w:r w:rsidR="002666AA">
        <w:t xml:space="preserve"> of curriculum and instruction</w:t>
      </w:r>
      <w:r>
        <w:t>.</w:t>
      </w:r>
      <w:r w:rsidR="00FA32CC">
        <w:t xml:space="preserve"> </w:t>
      </w:r>
      <w:r w:rsidR="00D0779D">
        <w:t>Both types</w:t>
      </w:r>
      <w:r>
        <w:t xml:space="preserve"> </w:t>
      </w:r>
      <w:r w:rsidR="00D0779D">
        <w:t>are</w:t>
      </w:r>
      <w:r>
        <w:t xml:space="preserve"> critical in developing a balanced assessment system. </w:t>
      </w:r>
    </w:p>
    <w:p w14:paraId="7F55ED83" w14:textId="0B1E28A4" w:rsidR="00753657" w:rsidRPr="00753657" w:rsidRDefault="00D70FBE" w:rsidP="00DC52D0">
      <w:pPr>
        <w:pStyle w:val="Heading2"/>
      </w:pPr>
      <w:r>
        <w:t xml:space="preserve">Formative </w:t>
      </w:r>
      <w:r w:rsidR="003C2359">
        <w:t xml:space="preserve">Assessment </w:t>
      </w:r>
      <w:r w:rsidR="003C2359" w:rsidRPr="00CD7F6B">
        <w:t>FOR</w:t>
      </w:r>
      <w:r w:rsidR="00F13302">
        <w:t xml:space="preserve"> Learning</w:t>
      </w:r>
    </w:p>
    <w:p w14:paraId="59179741" w14:textId="4B910170" w:rsidR="00FA32CC" w:rsidRDefault="003C2359" w:rsidP="00FA32CC">
      <w:r w:rsidRPr="00F24C61">
        <w:rPr>
          <w:i/>
        </w:rPr>
        <w:t xml:space="preserve">Assessment FOR </w:t>
      </w:r>
      <w:r w:rsidR="00FA32CC" w:rsidRPr="00F24C61">
        <w:rPr>
          <w:i/>
        </w:rPr>
        <w:t>L</w:t>
      </w:r>
      <w:r w:rsidRPr="00F24C61">
        <w:rPr>
          <w:i/>
        </w:rPr>
        <w:t>earning</w:t>
      </w:r>
      <w:r w:rsidRPr="00F24C61">
        <w:t xml:space="preserve"> is also known as </w:t>
      </w:r>
      <w:r w:rsidRPr="00F24C61">
        <w:rPr>
          <w:i/>
        </w:rPr>
        <w:t>Formative Assessment</w:t>
      </w:r>
      <w:r w:rsidR="00FA32CC">
        <w:t xml:space="preserve">. The reason it is critical </w:t>
      </w:r>
      <w:r w:rsidR="000A7183">
        <w:t>in developing a sound district assessment system is</w:t>
      </w:r>
      <w:r w:rsidR="00FA32CC">
        <w:t xml:space="preserve"> that it </w:t>
      </w:r>
      <w:r w:rsidR="000A7183">
        <w:t>is</w:t>
      </w:r>
      <w:r w:rsidR="00FA32CC">
        <w:t xml:space="preserve"> a powerful educational “intervention” to improve student learning when implemented as descri</w:t>
      </w:r>
      <w:r w:rsidR="000A7183">
        <w:t>bed in the research literature. The definition of formative assessment is</w:t>
      </w:r>
      <w:r w:rsidR="00D0779D">
        <w:t xml:space="preserve"> </w:t>
      </w:r>
      <w:r w:rsidR="00CD7F6B" w:rsidRPr="00D0779D">
        <w:rPr>
          <w:rFonts w:cs="Calibri"/>
          <w:color w:val="000000"/>
        </w:rPr>
        <w:t xml:space="preserve">“…a planned, ongoing </w:t>
      </w:r>
      <w:r w:rsidR="00CD7F6B" w:rsidRPr="00D0779D">
        <w:rPr>
          <w:rFonts w:cs="Calibri"/>
          <w:b/>
          <w:color w:val="000000"/>
        </w:rPr>
        <w:t>process</w:t>
      </w:r>
      <w:r w:rsidR="00CD7F6B" w:rsidRPr="00D0779D">
        <w:rPr>
          <w:rFonts w:cs="Calibri"/>
          <w:color w:val="000000"/>
        </w:rPr>
        <w:t xml:space="preserve"> used by all students and teachers during learning and teaching to elicit and use evidence of student learning to improve student understanding of intended disciplinary learning outcomes and support students to bec</w:t>
      </w:r>
      <w:r w:rsidR="00CD7F6B">
        <w:rPr>
          <w:rFonts w:cs="Calibri"/>
          <w:color w:val="000000"/>
        </w:rPr>
        <w:t>ome more self-directed learners</w:t>
      </w:r>
      <w:r w:rsidR="00CD7F6B" w:rsidRPr="00D0779D">
        <w:rPr>
          <w:rFonts w:cs="Calibri"/>
          <w:color w:val="000000"/>
        </w:rPr>
        <w:t>”</w:t>
      </w:r>
      <w:r w:rsidR="00CD7F6B" w:rsidRPr="00D0779D">
        <w:rPr>
          <w:rStyle w:val="FootnoteReference"/>
          <w:rFonts w:ascii="Garamond" w:hAnsi="Garamond" w:cstheme="minorHAnsi"/>
          <w:b/>
          <w:sz w:val="24"/>
        </w:rPr>
        <w:t xml:space="preserve"> </w:t>
      </w:r>
      <w:r w:rsidR="00D0779D">
        <w:t>(see advance reading 5)</w:t>
      </w:r>
      <w:r w:rsidR="00CD7F6B">
        <w:t xml:space="preserve">. </w:t>
      </w:r>
      <w:r w:rsidR="00A224B4">
        <w:t>Table 1</w:t>
      </w:r>
      <w:r w:rsidR="00FA32CC">
        <w:t xml:space="preserve"> describes </w:t>
      </w:r>
      <w:r w:rsidR="00A224B4">
        <w:t xml:space="preserve">characteristics, </w:t>
      </w:r>
      <w:r w:rsidR="00FA32CC">
        <w:t>uses</w:t>
      </w:r>
      <w:r w:rsidR="00A224B4">
        <w:t>, and examples</w:t>
      </w:r>
      <w:r w:rsidR="00FA32CC">
        <w:t>.</w:t>
      </w:r>
    </w:p>
    <w:p w14:paraId="711451EA" w14:textId="677E3956" w:rsidR="00A224B4" w:rsidRPr="007374F2" w:rsidRDefault="00A224B4" w:rsidP="00A224B4">
      <w:pPr>
        <w:pStyle w:val="TableCaption"/>
        <w:rPr>
          <w:rFonts w:ascii="Garamond" w:hAnsi="Garamond"/>
          <w:sz w:val="22"/>
          <w:szCs w:val="20"/>
        </w:rPr>
      </w:pPr>
      <w:r w:rsidRPr="007374F2">
        <w:rPr>
          <w:rFonts w:ascii="Garamond" w:hAnsi="Garamond"/>
          <w:b/>
          <w:sz w:val="22"/>
          <w:szCs w:val="20"/>
        </w:rPr>
        <w:t>Table 1.</w:t>
      </w:r>
      <w:r w:rsidRPr="007374F2">
        <w:rPr>
          <w:rFonts w:ascii="Garamond" w:hAnsi="Garamond"/>
          <w:sz w:val="22"/>
          <w:szCs w:val="20"/>
        </w:rPr>
        <w:t xml:space="preserve"> Characteristics, </w:t>
      </w:r>
      <w:r w:rsidR="00BB7108" w:rsidRPr="007374F2">
        <w:rPr>
          <w:rFonts w:ascii="Garamond" w:hAnsi="Garamond"/>
          <w:sz w:val="22"/>
          <w:szCs w:val="20"/>
        </w:rPr>
        <w:t>Purposes</w:t>
      </w:r>
      <w:r w:rsidRPr="007374F2">
        <w:rPr>
          <w:rFonts w:ascii="Garamond" w:hAnsi="Garamond"/>
          <w:sz w:val="22"/>
          <w:szCs w:val="20"/>
        </w:rPr>
        <w:t>, and Examples of Formative Assessment FOR Learning.</w:t>
      </w:r>
    </w:p>
    <w:tbl>
      <w:tblPr>
        <w:tblStyle w:val="TableGrid"/>
        <w:tblW w:w="5000" w:type="pct"/>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2" w:space="0" w:color="365F91" w:themeColor="accent1" w:themeShade="BF"/>
        </w:tblBorders>
        <w:tblCellMar>
          <w:left w:w="43" w:type="dxa"/>
          <w:right w:w="43" w:type="dxa"/>
        </w:tblCellMar>
        <w:tblLook w:val="04A0" w:firstRow="1" w:lastRow="0" w:firstColumn="1" w:lastColumn="0" w:noHBand="0" w:noVBand="1"/>
      </w:tblPr>
      <w:tblGrid>
        <w:gridCol w:w="3127"/>
        <w:gridCol w:w="3059"/>
        <w:gridCol w:w="3128"/>
      </w:tblGrid>
      <w:tr w:rsidR="00F13302" w:rsidRPr="007374F2" w14:paraId="7A3FCF26" w14:textId="77777777" w:rsidTr="00CD7F6B">
        <w:trPr>
          <w:tblHeader/>
        </w:trPr>
        <w:tc>
          <w:tcPr>
            <w:tcW w:w="1679" w:type="pct"/>
            <w:shd w:val="clear" w:color="auto" w:fill="DBE5F1" w:themeFill="accent1" w:themeFillTint="33"/>
          </w:tcPr>
          <w:p w14:paraId="1C370563" w14:textId="77777777" w:rsidR="00F13302" w:rsidRPr="007374F2" w:rsidRDefault="00F13302" w:rsidP="00C05D8E">
            <w:pPr>
              <w:pStyle w:val="TableHeader"/>
              <w:ind w:firstLine="0"/>
              <w:jc w:val="center"/>
              <w:rPr>
                <w:rFonts w:ascii="Garamond" w:hAnsi="Garamond"/>
              </w:rPr>
            </w:pPr>
            <w:r w:rsidRPr="007374F2">
              <w:rPr>
                <w:rFonts w:ascii="Garamond" w:hAnsi="Garamond"/>
              </w:rPr>
              <w:t>Characteristics</w:t>
            </w:r>
          </w:p>
        </w:tc>
        <w:tc>
          <w:tcPr>
            <w:tcW w:w="1642" w:type="pct"/>
            <w:shd w:val="clear" w:color="auto" w:fill="DBE5F1" w:themeFill="accent1" w:themeFillTint="33"/>
          </w:tcPr>
          <w:p w14:paraId="05D66D40" w14:textId="1319D1D5" w:rsidR="00F13302" w:rsidRPr="007374F2" w:rsidRDefault="00BB7108" w:rsidP="00C05D8E">
            <w:pPr>
              <w:pStyle w:val="TableHeader"/>
              <w:ind w:firstLine="0"/>
              <w:jc w:val="center"/>
              <w:rPr>
                <w:rFonts w:ascii="Garamond" w:hAnsi="Garamond"/>
              </w:rPr>
            </w:pPr>
            <w:r w:rsidRPr="007374F2">
              <w:rPr>
                <w:rFonts w:ascii="Garamond" w:hAnsi="Garamond"/>
              </w:rPr>
              <w:t>Purposes</w:t>
            </w:r>
          </w:p>
        </w:tc>
        <w:tc>
          <w:tcPr>
            <w:tcW w:w="1679" w:type="pct"/>
            <w:shd w:val="clear" w:color="auto" w:fill="DBE5F1" w:themeFill="accent1" w:themeFillTint="33"/>
          </w:tcPr>
          <w:p w14:paraId="0E29F244" w14:textId="77777777" w:rsidR="00F13302" w:rsidRPr="007374F2" w:rsidRDefault="00F13302" w:rsidP="00C05D8E">
            <w:pPr>
              <w:pStyle w:val="TableHeader"/>
              <w:ind w:firstLine="0"/>
              <w:jc w:val="center"/>
              <w:rPr>
                <w:rFonts w:ascii="Garamond" w:hAnsi="Garamond"/>
              </w:rPr>
            </w:pPr>
            <w:r w:rsidRPr="007374F2">
              <w:rPr>
                <w:rFonts w:ascii="Garamond" w:hAnsi="Garamond"/>
              </w:rPr>
              <w:t>Examples</w:t>
            </w:r>
          </w:p>
        </w:tc>
      </w:tr>
      <w:tr w:rsidR="00F13302" w:rsidRPr="007374F2" w14:paraId="7EF2840F" w14:textId="77777777" w:rsidTr="00CD7F6B">
        <w:tc>
          <w:tcPr>
            <w:tcW w:w="1679" w:type="pct"/>
          </w:tcPr>
          <w:p w14:paraId="410AC5A5"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Facilitates effective instruction (does not pause instruction)</w:t>
            </w:r>
          </w:p>
          <w:p w14:paraId="554D2514"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Learning goals and criteria are clear to students</w:t>
            </w:r>
          </w:p>
          <w:p w14:paraId="0B945DD0"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Students self-/peer-monitor progress toward learning goals</w:t>
            </w:r>
          </w:p>
          <w:p w14:paraId="55DFBD77"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Students and teachers receive frequent feedback</w:t>
            </w:r>
          </w:p>
          <w:p w14:paraId="03747452"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Jointly controlled by each teacher and her students</w:t>
            </w:r>
          </w:p>
          <w:p w14:paraId="259F2B75"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Addresses micro units of curriculum and instruction (e.g., a daily lesson or part of a lesson)</w:t>
            </w:r>
          </w:p>
          <w:p w14:paraId="6652EDC9"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Very frequent (e.g., multiple times per period)</w:t>
            </w:r>
          </w:p>
          <w:p w14:paraId="16792066"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Tailored to a set of students and an instructional plan</w:t>
            </w:r>
          </w:p>
          <w:p w14:paraId="3FDC9D81"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sz w:val="22"/>
                <w:szCs w:val="20"/>
              </w:rPr>
              <w:t>Might be comparable for a classroom, but not beyond</w:t>
            </w:r>
          </w:p>
          <w:p w14:paraId="0D933D66" w14:textId="77777777" w:rsidR="00F13302" w:rsidRPr="007374F2" w:rsidRDefault="00F13302" w:rsidP="00FA32CC">
            <w:pPr>
              <w:pStyle w:val="p1"/>
              <w:numPr>
                <w:ilvl w:val="0"/>
                <w:numId w:val="41"/>
              </w:numPr>
              <w:ind w:left="167" w:hanging="180"/>
              <w:rPr>
                <w:rFonts w:ascii="Garamond" w:hAnsi="Garamond"/>
                <w:sz w:val="22"/>
                <w:szCs w:val="20"/>
              </w:rPr>
            </w:pPr>
            <w:r w:rsidRPr="007374F2">
              <w:rPr>
                <w:rFonts w:ascii="Garamond" w:hAnsi="Garamond"/>
                <w:b/>
                <w:sz w:val="22"/>
                <w:szCs w:val="20"/>
              </w:rPr>
              <w:t>Not a product (e.g., quiz, bank of questions/tests)</w:t>
            </w:r>
          </w:p>
        </w:tc>
        <w:tc>
          <w:tcPr>
            <w:tcW w:w="1642" w:type="pct"/>
          </w:tcPr>
          <w:p w14:paraId="64A73C3B"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Engage students in learning/metacognition</w:t>
            </w:r>
          </w:p>
          <w:p w14:paraId="7EBE9CE4"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through frequent feedback and self-/peer evaluation</w:t>
            </w:r>
          </w:p>
          <w:p w14:paraId="7195C186"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Monitor moment-to-moment student learning</w:t>
            </w:r>
          </w:p>
          <w:p w14:paraId="192E24B3"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Diagnose individual students’ immediate instructional needs</w:t>
            </w:r>
          </w:p>
          <w:p w14:paraId="1A42939D"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Diagnose immediate group instructional needs</w:t>
            </w:r>
          </w:p>
          <w:p w14:paraId="0725A470"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Immediately adjust instruction</w:t>
            </w:r>
          </w:p>
          <w:p w14:paraId="4A220B38"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Differentiate instruction</w:t>
            </w:r>
          </w:p>
          <w:p w14:paraId="17153578"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sz w:val="22"/>
                <w:szCs w:val="20"/>
              </w:rPr>
              <w:t>Self-evaluate daily and/or sub-daily instructional effectiveness</w:t>
            </w:r>
          </w:p>
          <w:p w14:paraId="23B0F312" w14:textId="77777777" w:rsidR="00F13302" w:rsidRPr="007374F2" w:rsidRDefault="00F13302" w:rsidP="00FA32CC">
            <w:pPr>
              <w:pStyle w:val="p1"/>
              <w:numPr>
                <w:ilvl w:val="0"/>
                <w:numId w:val="41"/>
              </w:numPr>
              <w:ind w:left="139" w:hanging="180"/>
              <w:rPr>
                <w:rFonts w:ascii="Garamond" w:hAnsi="Garamond"/>
                <w:sz w:val="22"/>
                <w:szCs w:val="20"/>
              </w:rPr>
            </w:pPr>
            <w:r w:rsidRPr="007374F2">
              <w:rPr>
                <w:rFonts w:ascii="Garamond" w:hAnsi="Garamond"/>
                <w:b/>
                <w:sz w:val="22"/>
                <w:szCs w:val="20"/>
              </w:rPr>
              <w:t xml:space="preserve">Results from formative assessment are not appropriate for use in grading or accountability; however, ratings of the </w:t>
            </w:r>
            <w:r w:rsidRPr="007374F2">
              <w:rPr>
                <w:rFonts w:ascii="Garamond" w:hAnsi="Garamond"/>
                <w:b/>
                <w:i/>
                <w:sz w:val="22"/>
                <w:szCs w:val="20"/>
              </w:rPr>
              <w:t>quality</w:t>
            </w:r>
            <w:r w:rsidRPr="007374F2">
              <w:rPr>
                <w:rFonts w:ascii="Garamond" w:hAnsi="Garamond"/>
                <w:b/>
                <w:sz w:val="22"/>
                <w:szCs w:val="20"/>
              </w:rPr>
              <w:t xml:space="preserve"> of formative assessment practice may be appropriate for use in accountability</w:t>
            </w:r>
          </w:p>
        </w:tc>
        <w:tc>
          <w:tcPr>
            <w:tcW w:w="1679" w:type="pct"/>
          </w:tcPr>
          <w:p w14:paraId="5669AF09" w14:textId="77777777" w:rsidR="00F13302" w:rsidRPr="007374F2" w:rsidRDefault="00F13302" w:rsidP="00CD7F6B">
            <w:pPr>
              <w:pStyle w:val="p1"/>
              <w:numPr>
                <w:ilvl w:val="0"/>
                <w:numId w:val="42"/>
              </w:numPr>
              <w:ind w:left="141" w:hanging="180"/>
              <w:rPr>
                <w:rFonts w:ascii="Garamond" w:hAnsi="Garamond"/>
                <w:sz w:val="22"/>
                <w:szCs w:val="20"/>
              </w:rPr>
            </w:pPr>
            <w:r w:rsidRPr="007374F2">
              <w:rPr>
                <w:rFonts w:ascii="Garamond" w:hAnsi="Garamond"/>
                <w:sz w:val="22"/>
                <w:szCs w:val="20"/>
              </w:rPr>
              <w:t>Following a part of a day's lesson, students show thumbs up/down to indicate whether statements developed around anticipated misconceptions are true. Based on prevalence of misconceptions, the teacher reteaches parts of his lesson using a different strategy, strategically groups students to discuss their conclusions, or works briefly with one or two students.</w:t>
            </w:r>
          </w:p>
          <w:p w14:paraId="2F6CE0A2" w14:textId="77777777" w:rsidR="00F13302" w:rsidRPr="007374F2" w:rsidRDefault="00F13302" w:rsidP="00CD7F6B">
            <w:pPr>
              <w:pStyle w:val="p1"/>
              <w:numPr>
                <w:ilvl w:val="0"/>
                <w:numId w:val="42"/>
              </w:numPr>
              <w:ind w:left="141" w:hanging="180"/>
              <w:rPr>
                <w:rFonts w:ascii="Garamond" w:hAnsi="Garamond"/>
                <w:sz w:val="22"/>
                <w:szCs w:val="20"/>
              </w:rPr>
            </w:pPr>
            <w:r w:rsidRPr="007374F2">
              <w:rPr>
                <w:rFonts w:ascii="Garamond" w:hAnsi="Garamond"/>
                <w:sz w:val="22"/>
                <w:szCs w:val="20"/>
              </w:rPr>
              <w:t>At the end of class, students hand in a slip confidentially rating their attainment of each learning target as: (1) I can teach this, (2) I can do this on my own, (3) I need some help with this, or (4) I don’t get this at all. The teacher adjusts her next-day group assignments and planned activities accordingly.</w:t>
            </w:r>
          </w:p>
        </w:tc>
      </w:tr>
    </w:tbl>
    <w:p w14:paraId="1D9C6C0A" w14:textId="14E9855D" w:rsidR="00FA32CC" w:rsidRDefault="00FA32CC" w:rsidP="006E04A4">
      <w:pPr>
        <w:pStyle w:val="Spacer"/>
      </w:pPr>
    </w:p>
    <w:p w14:paraId="5527535E" w14:textId="02025CEB" w:rsidR="00FA32CC" w:rsidRDefault="00A224B4">
      <w:r w:rsidRPr="00F24C61">
        <w:rPr>
          <w:i/>
        </w:rPr>
        <w:t xml:space="preserve">Formative </w:t>
      </w:r>
      <w:r w:rsidR="006E04A4" w:rsidRPr="00F24C61">
        <w:rPr>
          <w:i/>
        </w:rPr>
        <w:t>Assessment FOR Learning</w:t>
      </w:r>
      <w:r w:rsidR="006E04A4">
        <w:t xml:space="preserve"> could appropriately be called </w:t>
      </w:r>
      <w:r w:rsidR="006E04A4" w:rsidRPr="00F24C61">
        <w:rPr>
          <w:i/>
        </w:rPr>
        <w:t>Formative Instruction</w:t>
      </w:r>
      <w:r w:rsidR="006E04A4">
        <w:t xml:space="preserve"> because </w:t>
      </w:r>
      <w:r w:rsidR="00A177B9">
        <w:t>it</w:t>
      </w:r>
      <w:r w:rsidR="006E04A4">
        <w:t xml:space="preserve"> is </w:t>
      </w:r>
      <w:r w:rsidR="00023208">
        <w:t xml:space="preserve">simply the </w:t>
      </w:r>
      <w:r w:rsidR="00023208" w:rsidRPr="00023208">
        <w:rPr>
          <w:rStyle w:val="Team"/>
        </w:rPr>
        <w:t>process</w:t>
      </w:r>
      <w:r w:rsidR="00023208">
        <w:t xml:space="preserve"> of gathering and incorporating information about students’ learning into daily instruction</w:t>
      </w:r>
      <w:r w:rsidR="006E04A4">
        <w:t xml:space="preserve">. Unfortunately, the term </w:t>
      </w:r>
      <w:r w:rsidR="006E04A4" w:rsidRPr="00F24C61">
        <w:rPr>
          <w:i/>
        </w:rPr>
        <w:t>Formative Assessment</w:t>
      </w:r>
      <w:r w:rsidR="00A177B9">
        <w:t xml:space="preserve"> is widely (</w:t>
      </w:r>
      <w:r w:rsidR="006E04A4">
        <w:t>and inappropriately</w:t>
      </w:r>
      <w:r w:rsidR="00A177B9">
        <w:t>)</w:t>
      </w:r>
      <w:r w:rsidR="006E04A4">
        <w:t xml:space="preserve"> used to indicate a specific </w:t>
      </w:r>
      <w:r w:rsidR="00023208">
        <w:t xml:space="preserve">type of </w:t>
      </w:r>
      <w:r w:rsidR="00023208" w:rsidRPr="00F24C61">
        <w:rPr>
          <w:b/>
        </w:rPr>
        <w:t>product</w:t>
      </w:r>
      <w:r w:rsidR="00023208">
        <w:t xml:space="preserve"> used to implement</w:t>
      </w:r>
      <w:r w:rsidR="006E04A4">
        <w:t xml:space="preserve"> </w:t>
      </w:r>
      <w:r w:rsidR="006E04A4" w:rsidRPr="00F24C61">
        <w:rPr>
          <w:i/>
        </w:rPr>
        <w:t>Assessment OF Learnin</w:t>
      </w:r>
      <w:r w:rsidR="00023208" w:rsidRPr="00F24C61">
        <w:rPr>
          <w:i/>
        </w:rPr>
        <w:t>g</w:t>
      </w:r>
      <w:r w:rsidR="006E04A4">
        <w:t>.</w:t>
      </w:r>
      <w:r w:rsidR="00C05D8E">
        <w:t xml:space="preserve"> </w:t>
      </w:r>
      <w:r w:rsidR="006E04A4">
        <w:t xml:space="preserve">The reason this use of the term </w:t>
      </w:r>
      <w:r w:rsidR="00023208">
        <w:t xml:space="preserve">is unfortunate is that </w:t>
      </w:r>
      <w:r w:rsidR="00023208" w:rsidRPr="00F24C61">
        <w:rPr>
          <w:i/>
        </w:rPr>
        <w:t>Assessment FOR Learning</w:t>
      </w:r>
      <w:r w:rsidR="00023208">
        <w:t xml:space="preserve"> </w:t>
      </w:r>
      <w:r w:rsidR="00A177B9">
        <w:t>is</w:t>
      </w:r>
      <w:r w:rsidR="006E04A4">
        <w:t xml:space="preserve"> </w:t>
      </w:r>
      <w:r w:rsidR="00023208">
        <w:t>a highly</w:t>
      </w:r>
      <w:r w:rsidR="00D0779D">
        <w:t xml:space="preserve"> effective practice </w:t>
      </w:r>
      <w:r w:rsidR="00CD7F6B">
        <w:t xml:space="preserve">to improve </w:t>
      </w:r>
      <w:r w:rsidR="00CD7F6B">
        <w:lastRenderedPageBreak/>
        <w:t xml:space="preserve">student learning; </w:t>
      </w:r>
      <w:r w:rsidR="006E04A4">
        <w:t xml:space="preserve">but </w:t>
      </w:r>
      <w:r w:rsidR="00D0779D">
        <w:t>to fulfill its promise,</w:t>
      </w:r>
      <w:r w:rsidR="00023208">
        <w:t xml:space="preserve"> </w:t>
      </w:r>
      <w:r w:rsidR="006E04A4">
        <w:t>it has to be</w:t>
      </w:r>
      <w:r w:rsidR="00023208">
        <w:t xml:space="preserve"> implemented as</w:t>
      </w:r>
      <w:r w:rsidR="006E04A4">
        <w:t xml:space="preserve"> </w:t>
      </w:r>
      <w:r w:rsidR="00023208">
        <w:t xml:space="preserve">a </w:t>
      </w:r>
      <w:r w:rsidR="00023208" w:rsidRPr="00F24C61">
        <w:rPr>
          <w:b/>
        </w:rPr>
        <w:t>process</w:t>
      </w:r>
      <w:r w:rsidR="006E04A4">
        <w:t xml:space="preserve"> </w:t>
      </w:r>
      <w:r w:rsidR="00D0779D">
        <w:t>consistent with</w:t>
      </w:r>
      <w:r w:rsidR="006E04A4">
        <w:t xml:space="preserve"> research literature (not </w:t>
      </w:r>
      <w:r w:rsidR="00023208">
        <w:t xml:space="preserve">as a </w:t>
      </w:r>
      <w:r w:rsidR="00023208" w:rsidRPr="00F84B3C">
        <w:rPr>
          <w:b/>
        </w:rPr>
        <w:t>product</w:t>
      </w:r>
      <w:r w:rsidR="00023208">
        <w:t xml:space="preserve"> described in marketing literature)</w:t>
      </w:r>
      <w:r w:rsidR="006E04A4">
        <w:t>. To address this unfortunate use of the term, there are two additional advance reading documents</w:t>
      </w:r>
      <w:r w:rsidR="00023208">
        <w:t xml:space="preserve"> with additional detail</w:t>
      </w:r>
      <w:r w:rsidR="006E04A4">
        <w:t xml:space="preserve">: </w:t>
      </w:r>
      <w:r w:rsidR="006E04A4" w:rsidRPr="006E04A4">
        <w:rPr>
          <w:rStyle w:val="Documents"/>
        </w:rPr>
        <w:t>Primer on Assessment FOR Learning</w:t>
      </w:r>
      <w:r w:rsidR="006E04A4">
        <w:t xml:space="preserve"> and </w:t>
      </w:r>
      <w:r w:rsidR="006E04A4" w:rsidRPr="006E04A4">
        <w:rPr>
          <w:rStyle w:val="Documents"/>
        </w:rPr>
        <w:t>ALN Learning Point on Assessment FOR Learning</w:t>
      </w:r>
      <w:r w:rsidR="006E04A4">
        <w:t>.</w:t>
      </w:r>
    </w:p>
    <w:p w14:paraId="4F0A6F4E" w14:textId="4EE61E96" w:rsidR="00023208" w:rsidRPr="00753657" w:rsidRDefault="00023208" w:rsidP="00DC52D0">
      <w:pPr>
        <w:pStyle w:val="Heading2"/>
      </w:pPr>
      <w:r>
        <w:t xml:space="preserve">Assessment </w:t>
      </w:r>
      <w:r w:rsidRPr="00CD7F6B">
        <w:t>OF</w:t>
      </w:r>
      <w:r w:rsidR="00F13302">
        <w:t xml:space="preserve"> Learning</w:t>
      </w:r>
    </w:p>
    <w:p w14:paraId="01822B80" w14:textId="153EB1DD" w:rsidR="00F13302" w:rsidRDefault="00023208">
      <w:r w:rsidRPr="00F84B3C">
        <w:rPr>
          <w:i/>
        </w:rPr>
        <w:t>Assessment OF Learning</w:t>
      </w:r>
      <w:r>
        <w:t xml:space="preserve"> is </w:t>
      </w:r>
      <w:r w:rsidR="00F13302">
        <w:t>what we generally think of as an assessment product (e.g., a quiz, test, exam, project, paper, homework assignment). There are two broad types</w:t>
      </w:r>
      <w:r w:rsidR="00CD7F6B">
        <w:t>:</w:t>
      </w:r>
      <w:r w:rsidR="00F13302">
        <w:t xml:space="preserve"> </w:t>
      </w:r>
      <w:r w:rsidR="00F13302" w:rsidRPr="00F84B3C">
        <w:rPr>
          <w:i/>
        </w:rPr>
        <w:t>Summative</w:t>
      </w:r>
      <w:r w:rsidR="00F13302" w:rsidRPr="00F13302">
        <w:rPr>
          <w:rStyle w:val="Role"/>
        </w:rPr>
        <w:t xml:space="preserve"> </w:t>
      </w:r>
      <w:r w:rsidR="00F13302">
        <w:t xml:space="preserve">and </w:t>
      </w:r>
      <w:r w:rsidR="00F13302" w:rsidRPr="00F84B3C">
        <w:rPr>
          <w:i/>
        </w:rPr>
        <w:t>Interim</w:t>
      </w:r>
      <w:r w:rsidR="00F13302">
        <w:t>.</w:t>
      </w:r>
    </w:p>
    <w:p w14:paraId="3F9B8C60" w14:textId="50892CEA" w:rsidR="00F13302" w:rsidRDefault="00F13302" w:rsidP="00DC52D0">
      <w:pPr>
        <w:pStyle w:val="Heading3"/>
      </w:pPr>
      <w:r>
        <w:t>Summative Assessment OF Learning</w:t>
      </w:r>
    </w:p>
    <w:p w14:paraId="46BEE103" w14:textId="3A3DDBD2" w:rsidR="00FA32CC" w:rsidRDefault="00F13302">
      <w:r w:rsidRPr="00F84B3C">
        <w:rPr>
          <w:i/>
        </w:rPr>
        <w:t>Summative Assessment OF Learning</w:t>
      </w:r>
      <w:r>
        <w:t xml:space="preserve"> is a capstone assessment </w:t>
      </w:r>
      <w:r w:rsidRPr="00F84B3C">
        <w:rPr>
          <w:b/>
        </w:rPr>
        <w:t>product</w:t>
      </w:r>
      <w:r>
        <w:t xml:space="preserve"> </w:t>
      </w:r>
      <w:r w:rsidR="00CD7F6B">
        <w:t>measuring</w:t>
      </w:r>
      <w:r>
        <w:t xml:space="preserve"> the degree to which students have achieved the intended knowledge and skills from </w:t>
      </w:r>
      <w:r w:rsidR="00A177B9">
        <w:t>an</w:t>
      </w:r>
      <w:r>
        <w:t xml:space="preserve"> entire marking period</w:t>
      </w:r>
      <w:r w:rsidR="00A177B9">
        <w:t xml:space="preserve"> (e.g., </w:t>
      </w:r>
      <w:r>
        <w:t>course, grade</w:t>
      </w:r>
      <w:r w:rsidR="00A177B9">
        <w:t>, year) or complete course</w:t>
      </w:r>
      <w:r>
        <w:t xml:space="preserve"> of study (</w:t>
      </w:r>
      <w:r w:rsidR="00A224B4">
        <w:t>e.g.</w:t>
      </w:r>
      <w:r>
        <w:t xml:space="preserve"> all of high school</w:t>
      </w:r>
      <w:r w:rsidR="00A224B4">
        <w:t>, all required science courses</w:t>
      </w:r>
      <w:r>
        <w:t xml:space="preserve">). </w:t>
      </w:r>
      <w:r w:rsidR="00A224B4">
        <w:t>Table 2</w:t>
      </w:r>
      <w:r>
        <w:t xml:space="preserve"> </w:t>
      </w:r>
      <w:r w:rsidR="00A177B9">
        <w:t>describes</w:t>
      </w:r>
      <w:r>
        <w:t xml:space="preserve"> characteristics, uses, and examples</w:t>
      </w:r>
      <w:r w:rsidR="00A177B9">
        <w:t>.</w:t>
      </w:r>
    </w:p>
    <w:p w14:paraId="45D9CC38" w14:textId="1C019FE8" w:rsidR="00A224B4" w:rsidRPr="007374F2" w:rsidRDefault="00A224B4" w:rsidP="00A224B4">
      <w:pPr>
        <w:pStyle w:val="TableCaption"/>
        <w:rPr>
          <w:rFonts w:ascii="Garamond" w:hAnsi="Garamond"/>
          <w:sz w:val="22"/>
        </w:rPr>
      </w:pPr>
      <w:r w:rsidRPr="007374F2">
        <w:rPr>
          <w:rFonts w:ascii="Garamond" w:hAnsi="Garamond"/>
          <w:b/>
          <w:sz w:val="22"/>
        </w:rPr>
        <w:t>Table 2.</w:t>
      </w:r>
      <w:r w:rsidRPr="007374F2">
        <w:rPr>
          <w:rFonts w:ascii="Garamond" w:hAnsi="Garamond"/>
          <w:sz w:val="22"/>
        </w:rPr>
        <w:t xml:space="preserve"> Characteristics, </w:t>
      </w:r>
      <w:r w:rsidR="00BB7108" w:rsidRPr="007374F2">
        <w:rPr>
          <w:rFonts w:ascii="Garamond" w:hAnsi="Garamond"/>
          <w:sz w:val="22"/>
        </w:rPr>
        <w:t>Purposes</w:t>
      </w:r>
      <w:r w:rsidRPr="007374F2">
        <w:rPr>
          <w:rFonts w:ascii="Garamond" w:hAnsi="Garamond"/>
          <w:sz w:val="22"/>
        </w:rPr>
        <w:t>, and Examples of Summative Assessment OF Learning.</w:t>
      </w:r>
    </w:p>
    <w:tbl>
      <w:tblPr>
        <w:tblStyle w:val="TableGrid"/>
        <w:tblW w:w="0" w:type="auto"/>
        <w:tblInd w:w="-23" w:type="dxa"/>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2" w:space="0" w:color="365F91" w:themeColor="accent1" w:themeShade="BF"/>
        </w:tblBorders>
        <w:tblCellMar>
          <w:left w:w="43" w:type="dxa"/>
          <w:right w:w="43" w:type="dxa"/>
        </w:tblCellMar>
        <w:tblLook w:val="04A0" w:firstRow="1" w:lastRow="0" w:firstColumn="1" w:lastColumn="0" w:noHBand="0" w:noVBand="1"/>
      </w:tblPr>
      <w:tblGrid>
        <w:gridCol w:w="3150"/>
        <w:gridCol w:w="3240"/>
        <w:gridCol w:w="2947"/>
      </w:tblGrid>
      <w:tr w:rsidR="00F13302" w:rsidRPr="007374F2" w14:paraId="6F9FF4BD" w14:textId="77777777" w:rsidTr="00062B16">
        <w:trPr>
          <w:tblHeader/>
        </w:trPr>
        <w:tc>
          <w:tcPr>
            <w:tcW w:w="3150" w:type="dxa"/>
            <w:shd w:val="clear" w:color="auto" w:fill="DBE5F1" w:themeFill="accent1" w:themeFillTint="33"/>
          </w:tcPr>
          <w:p w14:paraId="40F034E1" w14:textId="77777777" w:rsidR="00F13302" w:rsidRPr="007374F2" w:rsidRDefault="00F13302" w:rsidP="00CE1C42">
            <w:pPr>
              <w:spacing w:after="0"/>
              <w:ind w:firstLine="0"/>
              <w:jc w:val="center"/>
              <w:rPr>
                <w:rFonts w:cs="Calibri"/>
                <w:b/>
                <w:color w:val="244061" w:themeColor="accent1" w:themeShade="80"/>
                <w:sz w:val="22"/>
              </w:rPr>
            </w:pPr>
            <w:r w:rsidRPr="007374F2">
              <w:rPr>
                <w:rFonts w:cs="Calibri"/>
                <w:b/>
                <w:color w:val="244061" w:themeColor="accent1" w:themeShade="80"/>
                <w:sz w:val="22"/>
              </w:rPr>
              <w:t>Characteristics</w:t>
            </w:r>
          </w:p>
        </w:tc>
        <w:tc>
          <w:tcPr>
            <w:tcW w:w="3240" w:type="dxa"/>
            <w:shd w:val="clear" w:color="auto" w:fill="DBE5F1" w:themeFill="accent1" w:themeFillTint="33"/>
          </w:tcPr>
          <w:p w14:paraId="5A29676A" w14:textId="524ABC3D" w:rsidR="00F13302" w:rsidRPr="007374F2" w:rsidRDefault="00BB7108" w:rsidP="00CE1C42">
            <w:pPr>
              <w:spacing w:after="0"/>
              <w:ind w:firstLine="0"/>
              <w:jc w:val="center"/>
              <w:rPr>
                <w:rFonts w:cs="Calibri"/>
                <w:b/>
                <w:color w:val="244061" w:themeColor="accent1" w:themeShade="80"/>
                <w:sz w:val="22"/>
              </w:rPr>
            </w:pPr>
            <w:r w:rsidRPr="007374F2">
              <w:rPr>
                <w:rFonts w:cs="Calibri"/>
                <w:b/>
                <w:color w:val="244061" w:themeColor="accent1" w:themeShade="80"/>
                <w:sz w:val="22"/>
              </w:rPr>
              <w:t>Purposes</w:t>
            </w:r>
          </w:p>
        </w:tc>
        <w:tc>
          <w:tcPr>
            <w:tcW w:w="2947" w:type="dxa"/>
            <w:shd w:val="clear" w:color="auto" w:fill="DBE5F1" w:themeFill="accent1" w:themeFillTint="33"/>
          </w:tcPr>
          <w:p w14:paraId="017138E2" w14:textId="77777777" w:rsidR="00F13302" w:rsidRPr="007374F2" w:rsidRDefault="00F13302" w:rsidP="00CE1C42">
            <w:pPr>
              <w:spacing w:after="0"/>
              <w:ind w:firstLine="0"/>
              <w:jc w:val="center"/>
              <w:rPr>
                <w:rFonts w:cs="Calibri"/>
                <w:b/>
                <w:color w:val="244061" w:themeColor="accent1" w:themeShade="80"/>
                <w:sz w:val="22"/>
              </w:rPr>
            </w:pPr>
            <w:r w:rsidRPr="007374F2">
              <w:rPr>
                <w:rFonts w:cs="Calibri"/>
                <w:b/>
                <w:color w:val="244061" w:themeColor="accent1" w:themeShade="80"/>
                <w:sz w:val="22"/>
              </w:rPr>
              <w:t>Examples</w:t>
            </w:r>
          </w:p>
        </w:tc>
      </w:tr>
      <w:tr w:rsidR="00F13302" w:rsidRPr="007374F2" w14:paraId="4C816211" w14:textId="77777777" w:rsidTr="00062B16">
        <w:tc>
          <w:tcPr>
            <w:tcW w:w="3150" w:type="dxa"/>
          </w:tcPr>
          <w:p w14:paraId="1D4D4FDB" w14:textId="77777777" w:rsidR="00E91CB2" w:rsidRPr="007374F2" w:rsidRDefault="00E91CB2" w:rsidP="00F84B3C">
            <w:pPr>
              <w:pStyle w:val="p1"/>
              <w:numPr>
                <w:ilvl w:val="0"/>
                <w:numId w:val="41"/>
              </w:numPr>
              <w:ind w:left="222" w:hanging="235"/>
              <w:rPr>
                <w:rFonts w:ascii="Garamond" w:hAnsi="Garamond"/>
                <w:sz w:val="22"/>
                <w:szCs w:val="24"/>
              </w:rPr>
            </w:pPr>
            <w:r w:rsidRPr="007374F2">
              <w:rPr>
                <w:rFonts w:ascii="Garamond" w:hAnsi="Garamond"/>
                <w:sz w:val="22"/>
                <w:szCs w:val="24"/>
              </w:rPr>
              <w:t>Pauses instruction for evaluation</w:t>
            </w:r>
          </w:p>
          <w:p w14:paraId="39FD540F" w14:textId="77777777" w:rsidR="00E91CB2" w:rsidRPr="007374F2" w:rsidRDefault="00E91CB2" w:rsidP="00F84B3C">
            <w:pPr>
              <w:pStyle w:val="p1"/>
              <w:numPr>
                <w:ilvl w:val="0"/>
                <w:numId w:val="41"/>
              </w:numPr>
              <w:ind w:left="222" w:hanging="235"/>
              <w:rPr>
                <w:rFonts w:ascii="Garamond" w:hAnsi="Garamond"/>
                <w:sz w:val="22"/>
                <w:szCs w:val="24"/>
              </w:rPr>
            </w:pPr>
            <w:r w:rsidRPr="007374F2">
              <w:rPr>
                <w:rFonts w:ascii="Garamond" w:hAnsi="Garamond"/>
                <w:sz w:val="22"/>
                <w:szCs w:val="24"/>
              </w:rPr>
              <w:t>Covers one or more marking-periods (e.g., semester, course, credit, grade), or even an entire course of study</w:t>
            </w:r>
          </w:p>
          <w:p w14:paraId="468E9293" w14:textId="77777777" w:rsidR="00E91CB2" w:rsidRPr="007374F2" w:rsidRDefault="00E91CB2" w:rsidP="00F84B3C">
            <w:pPr>
              <w:pStyle w:val="p1"/>
              <w:numPr>
                <w:ilvl w:val="0"/>
                <w:numId w:val="41"/>
              </w:numPr>
              <w:ind w:left="222" w:hanging="235"/>
              <w:rPr>
                <w:rFonts w:ascii="Garamond" w:hAnsi="Garamond"/>
                <w:sz w:val="22"/>
                <w:szCs w:val="24"/>
              </w:rPr>
            </w:pPr>
            <w:r w:rsidRPr="007374F2">
              <w:rPr>
                <w:rFonts w:ascii="Garamond" w:hAnsi="Garamond"/>
                <w:sz w:val="22"/>
                <w:szCs w:val="24"/>
              </w:rPr>
              <w:t>Infrequent (e.g., yearly, finals week)</w:t>
            </w:r>
          </w:p>
          <w:p w14:paraId="6699E40C" w14:textId="77777777" w:rsidR="00E91CB2" w:rsidRPr="007374F2" w:rsidRDefault="00E91CB2" w:rsidP="00F84B3C">
            <w:pPr>
              <w:pStyle w:val="p1"/>
              <w:numPr>
                <w:ilvl w:val="0"/>
                <w:numId w:val="41"/>
              </w:numPr>
              <w:ind w:left="222" w:hanging="235"/>
              <w:rPr>
                <w:rFonts w:ascii="Garamond" w:hAnsi="Garamond"/>
                <w:sz w:val="22"/>
                <w:szCs w:val="24"/>
              </w:rPr>
            </w:pPr>
            <w:r w:rsidRPr="007374F2">
              <w:rPr>
                <w:rFonts w:ascii="Garamond" w:hAnsi="Garamond"/>
                <w:sz w:val="22"/>
                <w:szCs w:val="24"/>
              </w:rPr>
              <w:t>Administered after completing a marking period</w:t>
            </w:r>
          </w:p>
          <w:p w14:paraId="38CE879C" w14:textId="77777777" w:rsidR="00E91CB2" w:rsidRPr="007374F2" w:rsidRDefault="00E91CB2" w:rsidP="00F84B3C">
            <w:pPr>
              <w:pStyle w:val="p1"/>
              <w:numPr>
                <w:ilvl w:val="0"/>
                <w:numId w:val="41"/>
              </w:numPr>
              <w:ind w:left="222" w:hanging="235"/>
              <w:rPr>
                <w:rFonts w:ascii="Garamond" w:hAnsi="Garamond"/>
                <w:sz w:val="22"/>
                <w:szCs w:val="24"/>
              </w:rPr>
            </w:pPr>
            <w:r w:rsidRPr="007374F2">
              <w:rPr>
                <w:rFonts w:ascii="Garamond" w:hAnsi="Garamond"/>
                <w:sz w:val="22"/>
                <w:szCs w:val="24"/>
              </w:rPr>
              <w:t>Based on who controls assessment, results may be comparable across at the student level all the way up across states</w:t>
            </w:r>
          </w:p>
          <w:p w14:paraId="7CF3851D" w14:textId="6635510C" w:rsidR="00F13302" w:rsidRPr="007374F2" w:rsidRDefault="00E91CB2" w:rsidP="00F84B3C">
            <w:pPr>
              <w:pStyle w:val="p1"/>
              <w:numPr>
                <w:ilvl w:val="0"/>
                <w:numId w:val="41"/>
              </w:numPr>
              <w:ind w:left="222" w:hanging="235"/>
              <w:rPr>
                <w:rFonts w:ascii="Garamond" w:hAnsi="Garamond"/>
                <w:b/>
                <w:sz w:val="22"/>
                <w:szCs w:val="24"/>
              </w:rPr>
            </w:pPr>
            <w:r w:rsidRPr="007374F2">
              <w:rPr>
                <w:rFonts w:ascii="Garamond" w:hAnsi="Garamond"/>
                <w:b/>
                <w:sz w:val="22"/>
                <w:szCs w:val="24"/>
              </w:rPr>
              <w:t>A product</w:t>
            </w:r>
          </w:p>
        </w:tc>
        <w:tc>
          <w:tcPr>
            <w:tcW w:w="3240" w:type="dxa"/>
          </w:tcPr>
          <w:p w14:paraId="78560EBF" w14:textId="77777777"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Evaluate achievement after one or more marking periods (or even a course of study)</w:t>
            </w:r>
          </w:p>
          <w:p w14:paraId="18809F43" w14:textId="77777777"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Monitor progress across multiple marking periods</w:t>
            </w:r>
          </w:p>
          <w:p w14:paraId="29A837E3" w14:textId="29965AD5"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 xml:space="preserve">Corroborate results of </w:t>
            </w:r>
            <w:r w:rsidRPr="007374F2">
              <w:rPr>
                <w:rStyle w:val="Role"/>
                <w:rFonts w:ascii="Garamond" w:hAnsi="Garamond"/>
                <w:sz w:val="22"/>
                <w:szCs w:val="24"/>
              </w:rPr>
              <w:t>Interim Assessment OF Learning</w:t>
            </w:r>
          </w:p>
          <w:p w14:paraId="3574CD04" w14:textId="77777777"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Evaluate readiness for the next marking period</w:t>
            </w:r>
          </w:p>
          <w:p w14:paraId="5CE9EC37" w14:textId="0116DCEF"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Evaluation/adjustment of broad instructional practices, curriculum, programs, and policies</w:t>
            </w:r>
          </w:p>
          <w:p w14:paraId="1517EB0D" w14:textId="77777777" w:rsidR="00E91CB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Predict later student outcomes</w:t>
            </w:r>
          </w:p>
          <w:p w14:paraId="0CAB5F7A" w14:textId="51A108DE" w:rsidR="00F13302" w:rsidRPr="007374F2" w:rsidRDefault="00E91CB2" w:rsidP="00F84B3C">
            <w:pPr>
              <w:pStyle w:val="p1"/>
              <w:numPr>
                <w:ilvl w:val="0"/>
                <w:numId w:val="41"/>
              </w:numPr>
              <w:ind w:left="228" w:hanging="269"/>
              <w:rPr>
                <w:rFonts w:ascii="Garamond" w:hAnsi="Garamond"/>
                <w:sz w:val="22"/>
                <w:szCs w:val="24"/>
              </w:rPr>
            </w:pPr>
            <w:r w:rsidRPr="007374F2">
              <w:rPr>
                <w:rFonts w:ascii="Garamond" w:hAnsi="Garamond"/>
                <w:sz w:val="22"/>
                <w:szCs w:val="24"/>
              </w:rPr>
              <w:t>Grading and accountability</w:t>
            </w:r>
          </w:p>
        </w:tc>
        <w:tc>
          <w:tcPr>
            <w:tcW w:w="2947" w:type="dxa"/>
          </w:tcPr>
          <w:p w14:paraId="36F428F3" w14:textId="77777777" w:rsidR="00E91CB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District placement tests</w:t>
            </w:r>
          </w:p>
          <w:p w14:paraId="12CDABA3" w14:textId="307CC99D" w:rsidR="00E91CB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Classroom-specific final exams, projects, papers, presentations</w:t>
            </w:r>
          </w:p>
          <w:p w14:paraId="773E411C" w14:textId="47583B53" w:rsidR="00E91CB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School- or district-wide final exams, projects, papers, presentations</w:t>
            </w:r>
          </w:p>
          <w:p w14:paraId="2A54D884" w14:textId="5B8B16C8" w:rsidR="00E91CB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Assessments fo</w:t>
            </w:r>
            <w:r w:rsidR="00062B16" w:rsidRPr="007374F2">
              <w:rPr>
                <w:rFonts w:ascii="Garamond" w:hAnsi="Garamond"/>
                <w:sz w:val="22"/>
                <w:szCs w:val="24"/>
              </w:rPr>
              <w:t>r course credit without taking the course</w:t>
            </w:r>
          </w:p>
          <w:p w14:paraId="140317D9" w14:textId="4FAB1A08" w:rsidR="00E91CB2" w:rsidRPr="007374F2" w:rsidRDefault="00062B16" w:rsidP="00F84B3C">
            <w:pPr>
              <w:pStyle w:val="p1"/>
              <w:numPr>
                <w:ilvl w:val="0"/>
                <w:numId w:val="42"/>
              </w:numPr>
              <w:ind w:left="228" w:hanging="263"/>
              <w:rPr>
                <w:rFonts w:ascii="Garamond" w:hAnsi="Garamond"/>
                <w:sz w:val="22"/>
                <w:szCs w:val="24"/>
              </w:rPr>
            </w:pPr>
            <w:r w:rsidRPr="007374F2">
              <w:rPr>
                <w:rFonts w:ascii="Garamond" w:hAnsi="Garamond"/>
                <w:sz w:val="22"/>
                <w:szCs w:val="24"/>
              </w:rPr>
              <w:t>G</w:t>
            </w:r>
            <w:r w:rsidR="00E91CB2" w:rsidRPr="007374F2">
              <w:rPr>
                <w:rFonts w:ascii="Garamond" w:hAnsi="Garamond"/>
                <w:sz w:val="22"/>
                <w:szCs w:val="24"/>
              </w:rPr>
              <w:t>raduation/diploma endorsement tests</w:t>
            </w:r>
          </w:p>
          <w:p w14:paraId="55B695C8" w14:textId="29002B3F" w:rsidR="00E91CB2" w:rsidRPr="007374F2" w:rsidRDefault="00062B16" w:rsidP="00F84B3C">
            <w:pPr>
              <w:pStyle w:val="p1"/>
              <w:numPr>
                <w:ilvl w:val="0"/>
                <w:numId w:val="42"/>
              </w:numPr>
              <w:ind w:left="228" w:hanging="263"/>
              <w:rPr>
                <w:rFonts w:ascii="Garamond" w:hAnsi="Garamond"/>
                <w:sz w:val="22"/>
                <w:szCs w:val="24"/>
              </w:rPr>
            </w:pPr>
            <w:r w:rsidRPr="007374F2">
              <w:rPr>
                <w:rFonts w:ascii="Garamond" w:hAnsi="Garamond"/>
                <w:sz w:val="22"/>
                <w:szCs w:val="24"/>
              </w:rPr>
              <w:t>Annual s</w:t>
            </w:r>
            <w:r w:rsidR="00E91CB2" w:rsidRPr="007374F2">
              <w:rPr>
                <w:rFonts w:ascii="Garamond" w:hAnsi="Garamond"/>
                <w:sz w:val="22"/>
                <w:szCs w:val="24"/>
              </w:rPr>
              <w:t>tate tests</w:t>
            </w:r>
          </w:p>
          <w:p w14:paraId="589CEB1A" w14:textId="77777777" w:rsidR="00E91CB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High school equivalency tests</w:t>
            </w:r>
          </w:p>
          <w:p w14:paraId="68E8F810" w14:textId="16F42F4C" w:rsidR="00F13302" w:rsidRPr="007374F2" w:rsidRDefault="00E91CB2" w:rsidP="00F84B3C">
            <w:pPr>
              <w:pStyle w:val="p1"/>
              <w:numPr>
                <w:ilvl w:val="0"/>
                <w:numId w:val="42"/>
              </w:numPr>
              <w:ind w:left="228" w:hanging="263"/>
              <w:rPr>
                <w:rFonts w:ascii="Garamond" w:hAnsi="Garamond"/>
                <w:sz w:val="22"/>
                <w:szCs w:val="24"/>
              </w:rPr>
            </w:pPr>
            <w:r w:rsidRPr="007374F2">
              <w:rPr>
                <w:rFonts w:ascii="Garamond" w:hAnsi="Garamond"/>
                <w:sz w:val="22"/>
                <w:szCs w:val="24"/>
              </w:rPr>
              <w:t>College admission tests</w:t>
            </w:r>
          </w:p>
        </w:tc>
      </w:tr>
    </w:tbl>
    <w:p w14:paraId="19ABCA38" w14:textId="77777777" w:rsidR="00CD7F6B" w:rsidRDefault="00CD7F6B" w:rsidP="00CD7F6B">
      <w:pPr>
        <w:pStyle w:val="Spacer"/>
      </w:pPr>
    </w:p>
    <w:p w14:paraId="5542466E" w14:textId="272D8DF5" w:rsidR="00DC52D0" w:rsidRDefault="00DC52D0" w:rsidP="00DC52D0">
      <w:pPr>
        <w:pStyle w:val="Heading3"/>
      </w:pPr>
      <w:r>
        <w:t>Interim Assessment OF Learning</w:t>
      </w:r>
    </w:p>
    <w:p w14:paraId="2AA86CEF" w14:textId="77777777" w:rsidR="00062B16" w:rsidRDefault="00FA01A9" w:rsidP="00A30CB7">
      <w:r w:rsidRPr="00F84B3C">
        <w:rPr>
          <w:i/>
        </w:rPr>
        <w:t>Interim Assessment OF Learning</w:t>
      </w:r>
      <w:r>
        <w:t xml:space="preserve"> is </w:t>
      </w:r>
      <w:r w:rsidR="00273653">
        <w:t xml:space="preserve">an assessment that is administered during a marking period or a complete course of study. </w:t>
      </w:r>
      <w:r>
        <w:t>There are two types</w:t>
      </w:r>
      <w:r w:rsidR="00062B16">
        <w:t>.</w:t>
      </w:r>
    </w:p>
    <w:p w14:paraId="22FAFE3E" w14:textId="11C9FA28" w:rsidR="00062B16" w:rsidRPr="00062B16" w:rsidRDefault="00062B16" w:rsidP="00062B16">
      <w:pPr>
        <w:pStyle w:val="Heading4"/>
        <w:rPr>
          <w:rStyle w:val="Role"/>
          <w:i/>
          <w:color w:val="4F81BD" w:themeColor="accent1"/>
          <w:sz w:val="24"/>
        </w:rPr>
      </w:pPr>
      <w:r w:rsidRPr="00062B16">
        <w:rPr>
          <w:rStyle w:val="Role"/>
          <w:i/>
          <w:color w:val="4F81BD" w:themeColor="accent1"/>
          <w:sz w:val="24"/>
        </w:rPr>
        <w:t>Minisummative Interim Assessment OF Learning</w:t>
      </w:r>
    </w:p>
    <w:p w14:paraId="5689A35B" w14:textId="19CE8618" w:rsidR="00A30CB7" w:rsidRDefault="00273653" w:rsidP="00A30CB7">
      <w:r w:rsidRPr="00F84B3C">
        <w:rPr>
          <w:i/>
        </w:rPr>
        <w:t>Minisummative Interim Assessment OF Learning</w:t>
      </w:r>
      <w:r w:rsidR="0023767A">
        <w:rPr>
          <w:rStyle w:val="Role"/>
          <w:i w:val="0"/>
          <w:iCs/>
        </w:rPr>
        <w:t xml:space="preserve"> </w:t>
      </w:r>
      <w:r>
        <w:t xml:space="preserve">is a shortened version of a </w:t>
      </w:r>
      <w:r w:rsidRPr="00F84B3C">
        <w:rPr>
          <w:i/>
        </w:rPr>
        <w:t>Summative Assessment OF Learning</w:t>
      </w:r>
      <w:r>
        <w:t xml:space="preserve"> that co</w:t>
      </w:r>
      <w:r w:rsidR="00D0779D">
        <w:t>vers the same marking period or course of study</w:t>
      </w:r>
      <w:r w:rsidR="00CD7F6B">
        <w:t xml:space="preserve"> and is</w:t>
      </w:r>
      <w:r>
        <w:t xml:space="preserve"> administered </w:t>
      </w:r>
      <w:r w:rsidRPr="00CD7F6B">
        <w:t>during</w:t>
      </w:r>
      <w:r>
        <w:t xml:space="preserve"> the marking period or course of study. Table 3 shows characteristics, uses, and examples.</w:t>
      </w:r>
    </w:p>
    <w:p w14:paraId="1C1AF8D2" w14:textId="2C17FE59" w:rsidR="00273653" w:rsidRPr="007374F2" w:rsidRDefault="00273653" w:rsidP="00273653">
      <w:pPr>
        <w:pStyle w:val="TableCaption"/>
        <w:rPr>
          <w:rFonts w:ascii="Garamond" w:hAnsi="Garamond"/>
          <w:sz w:val="22"/>
        </w:rPr>
      </w:pPr>
      <w:r w:rsidRPr="007374F2">
        <w:rPr>
          <w:rFonts w:ascii="Garamond" w:hAnsi="Garamond"/>
          <w:b/>
          <w:sz w:val="22"/>
        </w:rPr>
        <w:t>Table 3.</w:t>
      </w:r>
      <w:r w:rsidRPr="007374F2">
        <w:rPr>
          <w:rFonts w:ascii="Garamond" w:hAnsi="Garamond"/>
          <w:sz w:val="22"/>
        </w:rPr>
        <w:t xml:space="preserve"> Characteristics, </w:t>
      </w:r>
      <w:r w:rsidR="00BB7108" w:rsidRPr="007374F2">
        <w:rPr>
          <w:rFonts w:ascii="Garamond" w:hAnsi="Garamond"/>
          <w:sz w:val="22"/>
        </w:rPr>
        <w:t>Purposes</w:t>
      </w:r>
      <w:r w:rsidRPr="007374F2">
        <w:rPr>
          <w:rFonts w:ascii="Garamond" w:hAnsi="Garamond"/>
          <w:sz w:val="22"/>
        </w:rPr>
        <w:t>, and Examples of Minisummative Interim Assessment OF Learning.</w:t>
      </w:r>
    </w:p>
    <w:tbl>
      <w:tblPr>
        <w:tblStyle w:val="TableGrid"/>
        <w:tblW w:w="0" w:type="auto"/>
        <w:tblInd w:w="-23" w:type="dxa"/>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2" w:space="0" w:color="365F91" w:themeColor="accent1" w:themeShade="BF"/>
        </w:tblBorders>
        <w:tblCellMar>
          <w:left w:w="43" w:type="dxa"/>
          <w:right w:w="43" w:type="dxa"/>
        </w:tblCellMar>
        <w:tblLook w:val="04A0" w:firstRow="1" w:lastRow="0" w:firstColumn="1" w:lastColumn="0" w:noHBand="0" w:noVBand="1"/>
      </w:tblPr>
      <w:tblGrid>
        <w:gridCol w:w="3510"/>
        <w:gridCol w:w="3150"/>
        <w:gridCol w:w="2677"/>
      </w:tblGrid>
      <w:tr w:rsidR="00273653" w:rsidRPr="007374F2" w14:paraId="23024059" w14:textId="77777777" w:rsidTr="00F84B3C">
        <w:trPr>
          <w:tblHeader/>
        </w:trPr>
        <w:tc>
          <w:tcPr>
            <w:tcW w:w="3510" w:type="dxa"/>
            <w:shd w:val="clear" w:color="auto" w:fill="DBE5F1" w:themeFill="accent1" w:themeFillTint="33"/>
          </w:tcPr>
          <w:p w14:paraId="51C86209" w14:textId="77777777" w:rsidR="00273653" w:rsidRPr="007374F2" w:rsidRDefault="00273653" w:rsidP="00726B61">
            <w:pPr>
              <w:spacing w:after="0"/>
              <w:ind w:firstLine="0"/>
              <w:jc w:val="center"/>
              <w:rPr>
                <w:rFonts w:cs="Calibri"/>
                <w:b/>
                <w:color w:val="244061" w:themeColor="accent1" w:themeShade="80"/>
                <w:sz w:val="22"/>
              </w:rPr>
            </w:pPr>
            <w:r w:rsidRPr="007374F2">
              <w:rPr>
                <w:rFonts w:cs="Calibri"/>
                <w:b/>
                <w:color w:val="244061" w:themeColor="accent1" w:themeShade="80"/>
                <w:sz w:val="22"/>
              </w:rPr>
              <w:lastRenderedPageBreak/>
              <w:t>Characteristics</w:t>
            </w:r>
          </w:p>
        </w:tc>
        <w:tc>
          <w:tcPr>
            <w:tcW w:w="3150" w:type="dxa"/>
            <w:shd w:val="clear" w:color="auto" w:fill="DBE5F1" w:themeFill="accent1" w:themeFillTint="33"/>
          </w:tcPr>
          <w:p w14:paraId="0F65D3A1" w14:textId="485B9E42" w:rsidR="00273653" w:rsidRPr="007374F2" w:rsidRDefault="00BB7108" w:rsidP="00726B61">
            <w:pPr>
              <w:spacing w:after="0"/>
              <w:ind w:firstLine="0"/>
              <w:jc w:val="center"/>
              <w:rPr>
                <w:rFonts w:cs="Calibri"/>
                <w:b/>
                <w:color w:val="244061" w:themeColor="accent1" w:themeShade="80"/>
                <w:sz w:val="22"/>
              </w:rPr>
            </w:pPr>
            <w:r w:rsidRPr="007374F2">
              <w:rPr>
                <w:rFonts w:cs="Calibri"/>
                <w:b/>
                <w:color w:val="244061" w:themeColor="accent1" w:themeShade="80"/>
                <w:sz w:val="22"/>
              </w:rPr>
              <w:t>Purposes</w:t>
            </w:r>
          </w:p>
        </w:tc>
        <w:tc>
          <w:tcPr>
            <w:tcW w:w="2677" w:type="dxa"/>
            <w:shd w:val="clear" w:color="auto" w:fill="DBE5F1" w:themeFill="accent1" w:themeFillTint="33"/>
          </w:tcPr>
          <w:p w14:paraId="50749197" w14:textId="77777777" w:rsidR="00273653" w:rsidRPr="007374F2" w:rsidRDefault="00273653" w:rsidP="00726B61">
            <w:pPr>
              <w:spacing w:after="0"/>
              <w:ind w:firstLine="0"/>
              <w:jc w:val="center"/>
              <w:rPr>
                <w:rFonts w:cs="Calibri"/>
                <w:b/>
                <w:color w:val="244061" w:themeColor="accent1" w:themeShade="80"/>
                <w:sz w:val="22"/>
              </w:rPr>
            </w:pPr>
            <w:r w:rsidRPr="007374F2">
              <w:rPr>
                <w:rFonts w:cs="Calibri"/>
                <w:b/>
                <w:color w:val="244061" w:themeColor="accent1" w:themeShade="80"/>
                <w:sz w:val="22"/>
              </w:rPr>
              <w:t>Examples</w:t>
            </w:r>
          </w:p>
        </w:tc>
      </w:tr>
      <w:tr w:rsidR="00273653" w:rsidRPr="007374F2" w14:paraId="719FCCE9" w14:textId="77777777" w:rsidTr="00F84B3C">
        <w:tc>
          <w:tcPr>
            <w:tcW w:w="3510" w:type="dxa"/>
          </w:tcPr>
          <w:p w14:paraId="65F1EFE8" w14:textId="77777777" w:rsidR="00273653" w:rsidRPr="007374F2" w:rsidRDefault="00273653" w:rsidP="00F84B3C">
            <w:pPr>
              <w:pStyle w:val="p1"/>
              <w:numPr>
                <w:ilvl w:val="0"/>
                <w:numId w:val="41"/>
              </w:numPr>
              <w:ind w:left="222" w:hanging="235"/>
              <w:rPr>
                <w:rFonts w:ascii="Garamond" w:hAnsi="Garamond"/>
                <w:sz w:val="22"/>
                <w:szCs w:val="24"/>
              </w:rPr>
            </w:pPr>
            <w:r w:rsidRPr="007374F2">
              <w:rPr>
                <w:rFonts w:ascii="Garamond" w:hAnsi="Garamond"/>
                <w:sz w:val="22"/>
                <w:szCs w:val="24"/>
              </w:rPr>
              <w:t>Pauses instruction for evaluation</w:t>
            </w:r>
          </w:p>
          <w:p w14:paraId="0D8D78FE" w14:textId="77777777" w:rsidR="00273653" w:rsidRPr="007374F2" w:rsidRDefault="00273653" w:rsidP="00F84B3C">
            <w:pPr>
              <w:pStyle w:val="p1"/>
              <w:numPr>
                <w:ilvl w:val="0"/>
                <w:numId w:val="41"/>
              </w:numPr>
              <w:ind w:left="222" w:hanging="235"/>
              <w:rPr>
                <w:rFonts w:ascii="Garamond" w:hAnsi="Garamond"/>
                <w:sz w:val="22"/>
                <w:szCs w:val="24"/>
              </w:rPr>
            </w:pPr>
            <w:r w:rsidRPr="007374F2">
              <w:rPr>
                <w:rFonts w:ascii="Garamond" w:hAnsi="Garamond"/>
                <w:sz w:val="22"/>
                <w:szCs w:val="24"/>
              </w:rPr>
              <w:t>Covers one or more marking periods (e.g., semester, course, grade), or even an entire course of study</w:t>
            </w:r>
          </w:p>
          <w:p w14:paraId="0767565C" w14:textId="77777777" w:rsidR="00273653" w:rsidRPr="007374F2" w:rsidRDefault="00273653" w:rsidP="00F84B3C">
            <w:pPr>
              <w:pStyle w:val="p1"/>
              <w:numPr>
                <w:ilvl w:val="0"/>
                <w:numId w:val="41"/>
              </w:numPr>
              <w:ind w:left="222" w:hanging="235"/>
              <w:rPr>
                <w:rFonts w:ascii="Garamond" w:hAnsi="Garamond"/>
                <w:sz w:val="22"/>
                <w:szCs w:val="24"/>
              </w:rPr>
            </w:pPr>
            <w:r w:rsidRPr="007374F2">
              <w:rPr>
                <w:rFonts w:ascii="Garamond" w:hAnsi="Garamond"/>
                <w:sz w:val="22"/>
                <w:szCs w:val="24"/>
              </w:rPr>
              <w:t>Somewhat frequent (e.g., multiple times per marking period, though some may be given annually).</w:t>
            </w:r>
          </w:p>
          <w:p w14:paraId="2268AFBC" w14:textId="77777777" w:rsidR="00273653" w:rsidRPr="007374F2" w:rsidRDefault="00273653" w:rsidP="00F84B3C">
            <w:pPr>
              <w:pStyle w:val="p1"/>
              <w:numPr>
                <w:ilvl w:val="0"/>
                <w:numId w:val="41"/>
              </w:numPr>
              <w:ind w:left="222" w:hanging="235"/>
              <w:rPr>
                <w:rFonts w:ascii="Garamond" w:hAnsi="Garamond"/>
                <w:sz w:val="22"/>
                <w:szCs w:val="24"/>
              </w:rPr>
            </w:pPr>
            <w:r w:rsidRPr="007374F2">
              <w:rPr>
                <w:rFonts w:ascii="Garamond" w:hAnsi="Garamond"/>
                <w:sz w:val="22"/>
                <w:szCs w:val="24"/>
              </w:rPr>
              <w:t>Administered at any time.</w:t>
            </w:r>
          </w:p>
          <w:p w14:paraId="252A8E7F" w14:textId="77777777" w:rsidR="00273653" w:rsidRPr="007374F2" w:rsidRDefault="00273653" w:rsidP="00F84B3C">
            <w:pPr>
              <w:pStyle w:val="p1"/>
              <w:numPr>
                <w:ilvl w:val="0"/>
                <w:numId w:val="41"/>
              </w:numPr>
              <w:ind w:left="222" w:hanging="235"/>
              <w:rPr>
                <w:rFonts w:ascii="Garamond" w:hAnsi="Garamond"/>
                <w:sz w:val="22"/>
                <w:szCs w:val="24"/>
              </w:rPr>
            </w:pPr>
            <w:r w:rsidRPr="007374F2">
              <w:rPr>
                <w:rFonts w:ascii="Garamond" w:hAnsi="Garamond"/>
                <w:sz w:val="22"/>
                <w:szCs w:val="24"/>
              </w:rPr>
              <w:t>Based on who controls assessment, results may be comparable across students, teachers, schools, districts, and/or states</w:t>
            </w:r>
          </w:p>
          <w:p w14:paraId="13BBADD8" w14:textId="6CA977C0" w:rsidR="00273653" w:rsidRPr="007374F2" w:rsidRDefault="00273653" w:rsidP="00F84B3C">
            <w:pPr>
              <w:pStyle w:val="p1"/>
              <w:numPr>
                <w:ilvl w:val="0"/>
                <w:numId w:val="41"/>
              </w:numPr>
              <w:ind w:left="222" w:hanging="235"/>
              <w:rPr>
                <w:rFonts w:ascii="Garamond" w:hAnsi="Garamond"/>
                <w:b/>
                <w:sz w:val="22"/>
                <w:szCs w:val="24"/>
              </w:rPr>
            </w:pPr>
            <w:r w:rsidRPr="007374F2">
              <w:rPr>
                <w:rFonts w:ascii="Garamond" w:hAnsi="Garamond"/>
                <w:b/>
                <w:sz w:val="22"/>
                <w:szCs w:val="24"/>
              </w:rPr>
              <w:t>A product</w:t>
            </w:r>
          </w:p>
        </w:tc>
        <w:tc>
          <w:tcPr>
            <w:tcW w:w="3150" w:type="dxa"/>
          </w:tcPr>
          <w:p w14:paraId="4B6C6E5F" w14:textId="19D31D23" w:rsidR="00273653" w:rsidRPr="007374F2" w:rsidRDefault="00273653" w:rsidP="00F84B3C">
            <w:pPr>
              <w:pStyle w:val="p1"/>
              <w:numPr>
                <w:ilvl w:val="0"/>
                <w:numId w:val="41"/>
              </w:numPr>
              <w:ind w:left="228" w:hanging="269"/>
              <w:rPr>
                <w:rFonts w:ascii="Garamond" w:hAnsi="Garamond"/>
                <w:color w:val="auto"/>
                <w:sz w:val="22"/>
                <w:szCs w:val="24"/>
              </w:rPr>
            </w:pPr>
            <w:r w:rsidRPr="007374F2">
              <w:rPr>
                <w:rFonts w:ascii="Garamond" w:hAnsi="Garamond"/>
                <w:color w:val="auto"/>
                <w:sz w:val="22"/>
                <w:szCs w:val="24"/>
              </w:rPr>
              <w:t>Monitor progress during a marking period.</w:t>
            </w:r>
          </w:p>
          <w:p w14:paraId="0147A178" w14:textId="77777777" w:rsidR="00273653" w:rsidRPr="007374F2" w:rsidRDefault="00273653" w:rsidP="00F84B3C">
            <w:pPr>
              <w:pStyle w:val="p1"/>
              <w:numPr>
                <w:ilvl w:val="0"/>
                <w:numId w:val="41"/>
              </w:numPr>
              <w:ind w:left="228" w:hanging="269"/>
              <w:rPr>
                <w:rFonts w:ascii="Garamond" w:hAnsi="Garamond"/>
                <w:color w:val="auto"/>
                <w:sz w:val="22"/>
                <w:szCs w:val="24"/>
              </w:rPr>
            </w:pPr>
            <w:r w:rsidRPr="007374F2">
              <w:rPr>
                <w:rFonts w:ascii="Garamond" w:hAnsi="Garamond"/>
                <w:color w:val="auto"/>
                <w:sz w:val="22"/>
                <w:szCs w:val="24"/>
              </w:rPr>
              <w:t>Monitor progress during a course of study.</w:t>
            </w:r>
          </w:p>
          <w:p w14:paraId="598E367F" w14:textId="77777777" w:rsidR="00273653" w:rsidRPr="007374F2" w:rsidRDefault="00273653" w:rsidP="00F84B3C">
            <w:pPr>
              <w:pStyle w:val="p1"/>
              <w:numPr>
                <w:ilvl w:val="0"/>
                <w:numId w:val="41"/>
              </w:numPr>
              <w:ind w:left="228" w:hanging="269"/>
              <w:rPr>
                <w:rFonts w:ascii="Garamond" w:hAnsi="Garamond"/>
                <w:color w:val="auto"/>
                <w:sz w:val="22"/>
                <w:szCs w:val="24"/>
              </w:rPr>
            </w:pPr>
            <w:r w:rsidRPr="007374F2">
              <w:rPr>
                <w:rFonts w:ascii="Garamond" w:hAnsi="Garamond"/>
                <w:color w:val="auto"/>
                <w:sz w:val="22"/>
                <w:szCs w:val="24"/>
              </w:rPr>
              <w:t>Pre-testing to get a general idea of where students are at the beginning of a marking period.</w:t>
            </w:r>
          </w:p>
          <w:p w14:paraId="5ED532C0" w14:textId="77777777" w:rsidR="00273653" w:rsidRPr="007374F2" w:rsidRDefault="00273653" w:rsidP="00F84B3C">
            <w:pPr>
              <w:pStyle w:val="p1"/>
              <w:numPr>
                <w:ilvl w:val="0"/>
                <w:numId w:val="41"/>
              </w:numPr>
              <w:ind w:left="228" w:hanging="269"/>
              <w:rPr>
                <w:rFonts w:ascii="Garamond" w:hAnsi="Garamond"/>
                <w:color w:val="auto"/>
                <w:sz w:val="22"/>
                <w:szCs w:val="24"/>
              </w:rPr>
            </w:pPr>
            <w:r w:rsidRPr="007374F2">
              <w:rPr>
                <w:rFonts w:ascii="Garamond" w:hAnsi="Garamond"/>
                <w:color w:val="auto"/>
                <w:sz w:val="22"/>
                <w:szCs w:val="24"/>
              </w:rPr>
              <w:t xml:space="preserve">Predict performance on a </w:t>
            </w:r>
            <w:r w:rsidRPr="007374F2">
              <w:rPr>
                <w:rStyle w:val="Role"/>
                <w:rFonts w:ascii="Garamond" w:hAnsi="Garamond"/>
                <w:color w:val="auto"/>
                <w:sz w:val="22"/>
                <w:szCs w:val="24"/>
              </w:rPr>
              <w:t>Summative Assessment OF Learning</w:t>
            </w:r>
            <w:r w:rsidRPr="007374F2">
              <w:rPr>
                <w:rFonts w:ascii="Garamond" w:hAnsi="Garamond"/>
                <w:color w:val="auto"/>
                <w:sz w:val="22"/>
                <w:szCs w:val="24"/>
              </w:rPr>
              <w:t>.</w:t>
            </w:r>
          </w:p>
          <w:p w14:paraId="0430B746" w14:textId="1E0EE160" w:rsidR="00273653" w:rsidRPr="007374F2" w:rsidRDefault="00273653" w:rsidP="00F84B3C">
            <w:pPr>
              <w:pStyle w:val="p1"/>
              <w:numPr>
                <w:ilvl w:val="0"/>
                <w:numId w:val="41"/>
              </w:numPr>
              <w:ind w:left="228" w:hanging="269"/>
              <w:rPr>
                <w:rFonts w:ascii="Garamond" w:hAnsi="Garamond"/>
                <w:sz w:val="22"/>
                <w:szCs w:val="24"/>
              </w:rPr>
            </w:pPr>
            <w:r w:rsidRPr="007374F2">
              <w:rPr>
                <w:rFonts w:ascii="Garamond" w:hAnsi="Garamond"/>
                <w:color w:val="auto"/>
                <w:sz w:val="22"/>
                <w:szCs w:val="24"/>
              </w:rPr>
              <w:t>Program and/or Policy Evaluation.</w:t>
            </w:r>
          </w:p>
        </w:tc>
        <w:tc>
          <w:tcPr>
            <w:tcW w:w="2677" w:type="dxa"/>
          </w:tcPr>
          <w:p w14:paraId="7DBEE98F" w14:textId="0077F70B" w:rsidR="00273653" w:rsidRPr="007374F2" w:rsidRDefault="00273653" w:rsidP="00F84B3C">
            <w:pPr>
              <w:pStyle w:val="p1"/>
              <w:numPr>
                <w:ilvl w:val="0"/>
                <w:numId w:val="42"/>
              </w:numPr>
              <w:ind w:left="228" w:hanging="275"/>
              <w:rPr>
                <w:rFonts w:ascii="Garamond" w:hAnsi="Garamond"/>
                <w:sz w:val="22"/>
                <w:szCs w:val="24"/>
              </w:rPr>
            </w:pPr>
            <w:r w:rsidRPr="007374F2">
              <w:rPr>
                <w:rFonts w:ascii="Garamond" w:hAnsi="Garamond"/>
                <w:sz w:val="22"/>
                <w:szCs w:val="24"/>
              </w:rPr>
              <w:t>Commercially published assessment programs that cover multiple grades (e.g., NWEA MAP).</w:t>
            </w:r>
          </w:p>
          <w:p w14:paraId="154D0C75" w14:textId="58A229C8" w:rsidR="00273653" w:rsidRPr="007374F2" w:rsidRDefault="00273653" w:rsidP="00F84B3C">
            <w:pPr>
              <w:pStyle w:val="p1"/>
              <w:numPr>
                <w:ilvl w:val="0"/>
                <w:numId w:val="42"/>
              </w:numPr>
              <w:ind w:left="228" w:hanging="275"/>
              <w:rPr>
                <w:rFonts w:ascii="Garamond" w:hAnsi="Garamond"/>
                <w:sz w:val="22"/>
                <w:szCs w:val="24"/>
              </w:rPr>
            </w:pPr>
            <w:r w:rsidRPr="007374F2">
              <w:rPr>
                <w:rFonts w:ascii="Garamond" w:hAnsi="Garamond"/>
                <w:sz w:val="22"/>
                <w:szCs w:val="24"/>
              </w:rPr>
              <w:t>Screening assessments (e.g., English proficiency)</w:t>
            </w:r>
          </w:p>
          <w:p w14:paraId="2BF1ADA8" w14:textId="08CA9062" w:rsidR="00273653" w:rsidRPr="007374F2" w:rsidRDefault="00273653" w:rsidP="00F84B3C">
            <w:pPr>
              <w:pStyle w:val="p1"/>
              <w:numPr>
                <w:ilvl w:val="0"/>
                <w:numId w:val="42"/>
              </w:numPr>
              <w:ind w:left="228" w:hanging="275"/>
              <w:rPr>
                <w:rFonts w:ascii="Garamond" w:hAnsi="Garamond"/>
                <w:sz w:val="22"/>
                <w:szCs w:val="24"/>
              </w:rPr>
            </w:pPr>
            <w:r w:rsidRPr="007374F2">
              <w:rPr>
                <w:rFonts w:ascii="Garamond" w:hAnsi="Garamond"/>
                <w:sz w:val="22"/>
                <w:szCs w:val="24"/>
              </w:rPr>
              <w:t>District developed (“common”) assessments that cover an entire marking period but are administered during the marking period.</w:t>
            </w:r>
          </w:p>
        </w:tc>
      </w:tr>
    </w:tbl>
    <w:p w14:paraId="5A86DE8C" w14:textId="77777777" w:rsidR="00233520" w:rsidRDefault="00233520" w:rsidP="00233520">
      <w:pPr>
        <w:pStyle w:val="Spacer"/>
      </w:pPr>
    </w:p>
    <w:p w14:paraId="7592068A" w14:textId="78D960D5" w:rsidR="00062B16" w:rsidRPr="00062B16" w:rsidRDefault="00062B16" w:rsidP="00062B16">
      <w:pPr>
        <w:pStyle w:val="Heading4"/>
        <w:rPr>
          <w:rStyle w:val="Role"/>
          <w:i/>
          <w:color w:val="4F81BD" w:themeColor="accent1"/>
          <w:sz w:val="24"/>
        </w:rPr>
      </w:pPr>
      <w:r>
        <w:rPr>
          <w:rStyle w:val="Role"/>
          <w:i/>
          <w:color w:val="4F81BD" w:themeColor="accent1"/>
          <w:sz w:val="24"/>
        </w:rPr>
        <w:t>Unit-Based</w:t>
      </w:r>
      <w:r w:rsidRPr="00062B16">
        <w:rPr>
          <w:rStyle w:val="Role"/>
          <w:i/>
          <w:color w:val="4F81BD" w:themeColor="accent1"/>
          <w:sz w:val="24"/>
        </w:rPr>
        <w:t xml:space="preserve"> Interim Assessment OF Learning</w:t>
      </w:r>
    </w:p>
    <w:p w14:paraId="1E89DAFB" w14:textId="3C90460C" w:rsidR="00233520" w:rsidRDefault="00233520" w:rsidP="00233520">
      <w:r w:rsidRPr="00F84B3C">
        <w:rPr>
          <w:i/>
        </w:rPr>
        <w:t>Unit-Based Interim Assessment OF Learning</w:t>
      </w:r>
      <w:r>
        <w:t xml:space="preserve"> </w:t>
      </w:r>
      <w:r w:rsidR="00C02532">
        <w:t xml:space="preserve">describes </w:t>
      </w:r>
      <w:r>
        <w:t xml:space="preserve">an assessment that covers a </w:t>
      </w:r>
      <w:r w:rsidR="00C05D8E">
        <w:t xml:space="preserve">large unit of curriculum and instruction that is smaller than a marking period, or a smaller </w:t>
      </w:r>
      <w:r>
        <w:t>unit of curriculum and instruction</w:t>
      </w:r>
      <w:r w:rsidR="00C05D8E">
        <w:t>. It is</w:t>
      </w:r>
      <w:r>
        <w:t xml:space="preserve"> administered at the end of or after the unit is complete.</w:t>
      </w:r>
      <w:r w:rsidR="00062B16">
        <w:t xml:space="preserve"> Table 4 gives characteristics, uses and examples </w:t>
      </w:r>
      <w:bookmarkStart w:id="4" w:name="_GoBack"/>
      <w:bookmarkEnd w:id="4"/>
      <w:r w:rsidR="00062B16">
        <w:t>for both large and small units.</w:t>
      </w:r>
    </w:p>
    <w:p w14:paraId="7FD977C9" w14:textId="1A1233DB" w:rsidR="00C02532" w:rsidRPr="00202FA4" w:rsidRDefault="00C02532" w:rsidP="00C02532">
      <w:pPr>
        <w:pStyle w:val="TableCaption"/>
        <w:rPr>
          <w:rFonts w:ascii="Garamond" w:hAnsi="Garamond"/>
          <w:sz w:val="22"/>
        </w:rPr>
      </w:pPr>
      <w:r w:rsidRPr="00202FA4">
        <w:rPr>
          <w:rFonts w:ascii="Garamond" w:hAnsi="Garamond"/>
          <w:b/>
          <w:sz w:val="22"/>
        </w:rPr>
        <w:t>Table 4.</w:t>
      </w:r>
      <w:r w:rsidRPr="00202FA4">
        <w:rPr>
          <w:rFonts w:ascii="Garamond" w:hAnsi="Garamond"/>
          <w:sz w:val="22"/>
        </w:rPr>
        <w:t xml:space="preserve"> Characteristics, </w:t>
      </w:r>
      <w:r w:rsidR="00BB7108" w:rsidRPr="00202FA4">
        <w:rPr>
          <w:rFonts w:ascii="Garamond" w:hAnsi="Garamond"/>
          <w:sz w:val="22"/>
        </w:rPr>
        <w:t>Purposes</w:t>
      </w:r>
      <w:r w:rsidRPr="00202FA4">
        <w:rPr>
          <w:rFonts w:ascii="Garamond" w:hAnsi="Garamond"/>
          <w:sz w:val="22"/>
        </w:rPr>
        <w:t xml:space="preserve">, and Examples of </w:t>
      </w:r>
      <w:r w:rsidR="00CD7F6B" w:rsidRPr="00202FA4">
        <w:rPr>
          <w:rFonts w:ascii="Garamond" w:hAnsi="Garamond"/>
          <w:sz w:val="22"/>
        </w:rPr>
        <w:t>Unit-Based</w:t>
      </w:r>
      <w:r w:rsidRPr="00202FA4">
        <w:rPr>
          <w:rFonts w:ascii="Garamond" w:hAnsi="Garamond"/>
          <w:sz w:val="22"/>
        </w:rPr>
        <w:t xml:space="preserve"> Interim Assessment OF Learning.</w:t>
      </w:r>
    </w:p>
    <w:tbl>
      <w:tblPr>
        <w:tblStyle w:val="TableGrid"/>
        <w:tblW w:w="5000" w:type="pct"/>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none" w:sz="0" w:space="0" w:color="auto"/>
          <w:insideV w:val="none" w:sz="0" w:space="0" w:color="auto"/>
        </w:tblBorders>
        <w:tblCellMar>
          <w:left w:w="43" w:type="dxa"/>
          <w:right w:w="43" w:type="dxa"/>
        </w:tblCellMar>
        <w:tblLook w:val="04A0" w:firstRow="1" w:lastRow="0" w:firstColumn="1" w:lastColumn="0" w:noHBand="0" w:noVBand="1"/>
      </w:tblPr>
      <w:tblGrid>
        <w:gridCol w:w="2047"/>
        <w:gridCol w:w="3150"/>
        <w:gridCol w:w="4117"/>
      </w:tblGrid>
      <w:tr w:rsidR="00637695" w:rsidRPr="00202FA4" w14:paraId="7DF962B1" w14:textId="77777777" w:rsidTr="007374F2">
        <w:trPr>
          <w:tblHeader/>
        </w:trPr>
        <w:tc>
          <w:tcPr>
            <w:tcW w:w="1099" w:type="pct"/>
            <w:tcBorders>
              <w:top w:val="single" w:sz="18" w:space="0" w:color="365F91" w:themeColor="accent1" w:themeShade="BF"/>
              <w:left w:val="single" w:sz="18" w:space="0" w:color="365F91" w:themeColor="accent1" w:themeShade="BF"/>
              <w:bottom w:val="single" w:sz="18" w:space="0" w:color="365F91" w:themeColor="accent1" w:themeShade="BF"/>
              <w:right w:val="single" w:sz="2" w:space="0" w:color="365F91" w:themeColor="accent1" w:themeShade="BF"/>
            </w:tcBorders>
            <w:shd w:val="clear" w:color="auto" w:fill="DBE5F1" w:themeFill="accent1" w:themeFillTint="33"/>
          </w:tcPr>
          <w:p w14:paraId="75A19CAC" w14:textId="77777777" w:rsidR="00C05D8E" w:rsidRPr="00202FA4" w:rsidRDefault="00C05D8E" w:rsidP="00D0779D">
            <w:pPr>
              <w:spacing w:after="0"/>
              <w:ind w:firstLine="0"/>
              <w:jc w:val="center"/>
              <w:rPr>
                <w:rFonts w:cs="Calibri"/>
                <w:b/>
                <w:color w:val="244061" w:themeColor="accent1" w:themeShade="80"/>
                <w:sz w:val="22"/>
              </w:rPr>
            </w:pPr>
            <w:r w:rsidRPr="00202FA4">
              <w:rPr>
                <w:rFonts w:cs="Calibri"/>
                <w:b/>
                <w:color w:val="244061" w:themeColor="accent1" w:themeShade="80"/>
                <w:sz w:val="22"/>
              </w:rPr>
              <w:t>Characteristics</w:t>
            </w:r>
          </w:p>
        </w:tc>
        <w:tc>
          <w:tcPr>
            <w:tcW w:w="1691" w:type="pct"/>
            <w:tcBorders>
              <w:top w:val="single" w:sz="18" w:space="0" w:color="365F91" w:themeColor="accent1" w:themeShade="BF"/>
              <w:left w:val="single" w:sz="2" w:space="0" w:color="365F91" w:themeColor="accent1" w:themeShade="BF"/>
              <w:bottom w:val="single" w:sz="18" w:space="0" w:color="365F91" w:themeColor="accent1" w:themeShade="BF"/>
              <w:right w:val="single" w:sz="2" w:space="0" w:color="365F91" w:themeColor="accent1" w:themeShade="BF"/>
            </w:tcBorders>
            <w:shd w:val="clear" w:color="auto" w:fill="DBE5F1" w:themeFill="accent1" w:themeFillTint="33"/>
          </w:tcPr>
          <w:p w14:paraId="540467F9" w14:textId="7104C403" w:rsidR="00C05D8E" w:rsidRPr="00202FA4" w:rsidRDefault="00BB7108" w:rsidP="00D0779D">
            <w:pPr>
              <w:spacing w:after="0"/>
              <w:ind w:firstLine="0"/>
              <w:jc w:val="center"/>
              <w:rPr>
                <w:rFonts w:cs="Calibri"/>
                <w:b/>
                <w:color w:val="244061" w:themeColor="accent1" w:themeShade="80"/>
                <w:sz w:val="22"/>
              </w:rPr>
            </w:pPr>
            <w:r w:rsidRPr="00202FA4">
              <w:rPr>
                <w:rFonts w:cs="Calibri"/>
                <w:b/>
                <w:color w:val="244061" w:themeColor="accent1" w:themeShade="80"/>
                <w:sz w:val="22"/>
              </w:rPr>
              <w:t>Purposes</w:t>
            </w:r>
          </w:p>
        </w:tc>
        <w:tc>
          <w:tcPr>
            <w:tcW w:w="2210" w:type="pct"/>
            <w:tcBorders>
              <w:top w:val="single" w:sz="18" w:space="0" w:color="365F91" w:themeColor="accent1" w:themeShade="BF"/>
              <w:left w:val="single" w:sz="2" w:space="0" w:color="365F91" w:themeColor="accent1" w:themeShade="BF"/>
              <w:bottom w:val="single" w:sz="18" w:space="0" w:color="365F91" w:themeColor="accent1" w:themeShade="BF"/>
            </w:tcBorders>
            <w:shd w:val="clear" w:color="auto" w:fill="DBE5F1" w:themeFill="accent1" w:themeFillTint="33"/>
          </w:tcPr>
          <w:p w14:paraId="48158E1A" w14:textId="77777777" w:rsidR="00C05D8E" w:rsidRPr="00202FA4" w:rsidRDefault="00C05D8E" w:rsidP="00D0779D">
            <w:pPr>
              <w:spacing w:after="0"/>
              <w:ind w:firstLine="0"/>
              <w:jc w:val="center"/>
              <w:rPr>
                <w:rFonts w:cs="Calibri"/>
                <w:b/>
                <w:color w:val="244061" w:themeColor="accent1" w:themeShade="80"/>
                <w:sz w:val="22"/>
              </w:rPr>
            </w:pPr>
            <w:r w:rsidRPr="00202FA4">
              <w:rPr>
                <w:rFonts w:cs="Calibri"/>
                <w:b/>
                <w:color w:val="244061" w:themeColor="accent1" w:themeShade="80"/>
                <w:sz w:val="22"/>
              </w:rPr>
              <w:t>Examples</w:t>
            </w:r>
          </w:p>
        </w:tc>
      </w:tr>
      <w:tr w:rsidR="00637695" w:rsidRPr="00202FA4" w14:paraId="7EA3B271" w14:textId="77777777" w:rsidTr="007374F2">
        <w:tc>
          <w:tcPr>
            <w:tcW w:w="1099" w:type="pct"/>
            <w:tcBorders>
              <w:top w:val="single" w:sz="2" w:space="0" w:color="365F91" w:themeColor="accent1" w:themeShade="BF"/>
              <w:left w:val="single" w:sz="18" w:space="0" w:color="365F91" w:themeColor="accent1" w:themeShade="BF"/>
              <w:bottom w:val="single" w:sz="18" w:space="0" w:color="365F91" w:themeColor="accent1" w:themeShade="BF"/>
              <w:right w:val="single" w:sz="2" w:space="0" w:color="365F91" w:themeColor="accent1" w:themeShade="BF"/>
            </w:tcBorders>
          </w:tcPr>
          <w:p w14:paraId="7F4E4A7B" w14:textId="77777777" w:rsidR="00C05D8E" w:rsidRPr="00202FA4" w:rsidRDefault="00C05D8E" w:rsidP="007374F2">
            <w:pPr>
              <w:pStyle w:val="p1"/>
              <w:numPr>
                <w:ilvl w:val="0"/>
                <w:numId w:val="43"/>
              </w:numPr>
              <w:ind w:left="198" w:hanging="198"/>
              <w:rPr>
                <w:rFonts w:ascii="Garamond" w:hAnsi="Garamond"/>
                <w:sz w:val="22"/>
                <w:szCs w:val="24"/>
              </w:rPr>
            </w:pPr>
            <w:r w:rsidRPr="00202FA4">
              <w:rPr>
                <w:rFonts w:ascii="Garamond" w:hAnsi="Garamond"/>
                <w:sz w:val="22"/>
                <w:szCs w:val="24"/>
              </w:rPr>
              <w:t>Pauses instruction for evaluation</w:t>
            </w:r>
          </w:p>
          <w:p w14:paraId="798C463E" w14:textId="65159EF1" w:rsidR="00C05D8E" w:rsidRPr="00202FA4" w:rsidRDefault="00C05D8E" w:rsidP="007374F2">
            <w:pPr>
              <w:pStyle w:val="p1"/>
              <w:numPr>
                <w:ilvl w:val="0"/>
                <w:numId w:val="43"/>
              </w:numPr>
              <w:ind w:left="198" w:hanging="198"/>
              <w:rPr>
                <w:rFonts w:ascii="Garamond" w:hAnsi="Garamond"/>
                <w:sz w:val="22"/>
                <w:szCs w:val="24"/>
              </w:rPr>
            </w:pPr>
            <w:r w:rsidRPr="00202FA4">
              <w:rPr>
                <w:rFonts w:ascii="Garamond" w:hAnsi="Garamond"/>
                <w:sz w:val="22"/>
                <w:szCs w:val="24"/>
              </w:rPr>
              <w:t xml:space="preserve">Covers </w:t>
            </w:r>
            <w:r w:rsidR="00062B16" w:rsidRPr="00202FA4">
              <w:rPr>
                <w:rFonts w:ascii="Garamond" w:hAnsi="Garamond"/>
                <w:sz w:val="22"/>
                <w:szCs w:val="24"/>
              </w:rPr>
              <w:t>small</w:t>
            </w:r>
            <w:r w:rsidRPr="00202FA4">
              <w:rPr>
                <w:rFonts w:ascii="Garamond" w:hAnsi="Garamond"/>
                <w:sz w:val="22"/>
                <w:szCs w:val="24"/>
              </w:rPr>
              <w:t xml:space="preserve"> </w:t>
            </w:r>
            <w:r w:rsidR="00062B16" w:rsidRPr="00202FA4">
              <w:rPr>
                <w:rFonts w:ascii="Garamond" w:hAnsi="Garamond"/>
                <w:sz w:val="22"/>
                <w:szCs w:val="24"/>
              </w:rPr>
              <w:t>to</w:t>
            </w:r>
            <w:r w:rsidRPr="00202FA4">
              <w:rPr>
                <w:rFonts w:ascii="Garamond" w:hAnsi="Garamond"/>
                <w:sz w:val="22"/>
                <w:szCs w:val="24"/>
              </w:rPr>
              <w:t xml:space="preserve"> </w:t>
            </w:r>
            <w:r w:rsidR="00062B16" w:rsidRPr="00202FA4">
              <w:rPr>
                <w:rFonts w:ascii="Garamond" w:hAnsi="Garamond"/>
                <w:sz w:val="22"/>
                <w:szCs w:val="24"/>
              </w:rPr>
              <w:t>large</w:t>
            </w:r>
            <w:r w:rsidRPr="00202FA4">
              <w:rPr>
                <w:rFonts w:ascii="Garamond" w:hAnsi="Garamond"/>
                <w:sz w:val="22"/>
                <w:szCs w:val="24"/>
              </w:rPr>
              <w:t xml:space="preserve"> units of curriculum and instruction</w:t>
            </w:r>
          </w:p>
          <w:p w14:paraId="156FB894" w14:textId="77777777" w:rsidR="00C05D8E" w:rsidRPr="00202FA4" w:rsidRDefault="00C05D8E" w:rsidP="007374F2">
            <w:pPr>
              <w:pStyle w:val="p1"/>
              <w:numPr>
                <w:ilvl w:val="0"/>
                <w:numId w:val="43"/>
              </w:numPr>
              <w:ind w:left="198" w:hanging="198"/>
              <w:rPr>
                <w:rFonts w:ascii="Garamond" w:hAnsi="Garamond"/>
                <w:sz w:val="22"/>
                <w:szCs w:val="24"/>
              </w:rPr>
            </w:pPr>
            <w:r w:rsidRPr="00202FA4">
              <w:rPr>
                <w:rFonts w:ascii="Garamond" w:hAnsi="Garamond"/>
                <w:sz w:val="22"/>
                <w:szCs w:val="24"/>
              </w:rPr>
              <w:t>Somewhat frequent (e.g., weekly to quarterly)</w:t>
            </w:r>
          </w:p>
          <w:p w14:paraId="3E29F501" w14:textId="09B5D16C" w:rsidR="00C05D8E" w:rsidRPr="00202FA4" w:rsidRDefault="00CD7F6B" w:rsidP="007374F2">
            <w:pPr>
              <w:pStyle w:val="p1"/>
              <w:numPr>
                <w:ilvl w:val="0"/>
                <w:numId w:val="43"/>
              </w:numPr>
              <w:ind w:left="198" w:hanging="198"/>
              <w:rPr>
                <w:rFonts w:ascii="Garamond" w:hAnsi="Garamond"/>
                <w:sz w:val="22"/>
                <w:szCs w:val="24"/>
              </w:rPr>
            </w:pPr>
            <w:r w:rsidRPr="00202FA4">
              <w:rPr>
                <w:rFonts w:ascii="Garamond" w:hAnsi="Garamond"/>
                <w:sz w:val="22"/>
                <w:szCs w:val="24"/>
              </w:rPr>
              <w:t>Comparable for students taking the same test</w:t>
            </w:r>
          </w:p>
          <w:p w14:paraId="6AA8F0B7" w14:textId="77777777" w:rsidR="00C05D8E" w:rsidRPr="00202FA4" w:rsidRDefault="00C05D8E" w:rsidP="007374F2">
            <w:pPr>
              <w:pStyle w:val="p1"/>
              <w:numPr>
                <w:ilvl w:val="0"/>
                <w:numId w:val="43"/>
              </w:numPr>
              <w:ind w:left="198" w:hanging="198"/>
              <w:rPr>
                <w:rFonts w:ascii="Garamond" w:hAnsi="Garamond"/>
                <w:b/>
                <w:sz w:val="22"/>
                <w:szCs w:val="24"/>
              </w:rPr>
            </w:pPr>
            <w:r w:rsidRPr="00202FA4">
              <w:rPr>
                <w:rFonts w:ascii="Garamond" w:hAnsi="Garamond"/>
                <w:b/>
                <w:sz w:val="22"/>
                <w:szCs w:val="24"/>
              </w:rPr>
              <w:t>A product</w:t>
            </w:r>
          </w:p>
        </w:tc>
        <w:tc>
          <w:tcPr>
            <w:tcW w:w="1691" w:type="pct"/>
            <w:tcBorders>
              <w:top w:val="single" w:sz="2" w:space="0" w:color="365F91" w:themeColor="accent1" w:themeShade="BF"/>
              <w:left w:val="single" w:sz="2" w:space="0" w:color="365F91" w:themeColor="accent1" w:themeShade="BF"/>
              <w:bottom w:val="single" w:sz="18" w:space="0" w:color="365F91" w:themeColor="accent1" w:themeShade="BF"/>
              <w:right w:val="single" w:sz="2" w:space="0" w:color="365F91" w:themeColor="accent1" w:themeShade="BF"/>
            </w:tcBorders>
          </w:tcPr>
          <w:p w14:paraId="6E279603" w14:textId="5B2246C3"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Evaluate achievement after a unit</w:t>
            </w:r>
          </w:p>
          <w:p w14:paraId="7FB2E2C1" w14:textId="4C814F72" w:rsidR="00C05D8E" w:rsidRPr="00202FA4" w:rsidRDefault="00317CE9" w:rsidP="007374F2">
            <w:pPr>
              <w:pStyle w:val="p1"/>
              <w:numPr>
                <w:ilvl w:val="0"/>
                <w:numId w:val="43"/>
              </w:numPr>
              <w:ind w:left="222" w:hanging="222"/>
              <w:rPr>
                <w:rFonts w:ascii="Garamond" w:hAnsi="Garamond"/>
                <w:sz w:val="22"/>
                <w:szCs w:val="24"/>
              </w:rPr>
            </w:pPr>
            <w:r w:rsidRPr="00202FA4">
              <w:rPr>
                <w:rFonts w:ascii="Garamond" w:hAnsi="Garamond"/>
                <w:sz w:val="22"/>
                <w:szCs w:val="24"/>
              </w:rPr>
              <w:t>Track</w:t>
            </w:r>
            <w:r w:rsidR="00C05D8E" w:rsidRPr="00202FA4">
              <w:rPr>
                <w:rFonts w:ascii="Garamond" w:hAnsi="Garamond"/>
                <w:sz w:val="22"/>
                <w:szCs w:val="24"/>
              </w:rPr>
              <w:t xml:space="preserve"> p</w:t>
            </w:r>
            <w:r w:rsidR="00D0779D" w:rsidRPr="00202FA4">
              <w:rPr>
                <w:rFonts w:ascii="Garamond" w:hAnsi="Garamond"/>
                <w:sz w:val="22"/>
                <w:szCs w:val="24"/>
              </w:rPr>
              <w:t>rogress within a marking period</w:t>
            </w:r>
          </w:p>
          <w:p w14:paraId="221400EB" w14:textId="21D2011D"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 xml:space="preserve">Pre-test to </w:t>
            </w:r>
            <w:r w:rsidR="00D0779D" w:rsidRPr="00202FA4">
              <w:rPr>
                <w:rFonts w:ascii="Garamond" w:hAnsi="Garamond"/>
                <w:sz w:val="22"/>
                <w:szCs w:val="24"/>
              </w:rPr>
              <w:t>tailor unit instructional plans</w:t>
            </w:r>
          </w:p>
          <w:p w14:paraId="74740C7D" w14:textId="77777777"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Identify post-unit remedial needs</w:t>
            </w:r>
          </w:p>
          <w:p w14:paraId="230FFE70" w14:textId="1FF942C7"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Mid-course/mid-year</w:t>
            </w:r>
            <w:r w:rsidR="00D0779D" w:rsidRPr="00202FA4">
              <w:rPr>
                <w:rFonts w:ascii="Garamond" w:hAnsi="Garamond"/>
                <w:sz w:val="22"/>
                <w:szCs w:val="24"/>
              </w:rPr>
              <w:t xml:space="preserve"> self-evaluation and adjustment</w:t>
            </w:r>
          </w:p>
          <w:p w14:paraId="31A0E4C1" w14:textId="2BAE2F44"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 xml:space="preserve">Predict performance on summative assessment </w:t>
            </w:r>
            <w:r w:rsidR="00CD7F6B" w:rsidRPr="00202FA4">
              <w:rPr>
                <w:rFonts w:ascii="Garamond" w:hAnsi="Garamond"/>
                <w:sz w:val="22"/>
                <w:szCs w:val="24"/>
              </w:rPr>
              <w:t>in the absence of intervention</w:t>
            </w:r>
          </w:p>
          <w:p w14:paraId="04747F6F" w14:textId="77777777" w:rsidR="00C05D8E" w:rsidRPr="00202FA4" w:rsidRDefault="00C05D8E" w:rsidP="007374F2">
            <w:pPr>
              <w:pStyle w:val="p1"/>
              <w:numPr>
                <w:ilvl w:val="0"/>
                <w:numId w:val="43"/>
              </w:numPr>
              <w:ind w:left="222" w:hanging="222"/>
              <w:rPr>
                <w:rFonts w:ascii="Garamond" w:hAnsi="Garamond"/>
                <w:sz w:val="22"/>
                <w:szCs w:val="24"/>
              </w:rPr>
            </w:pPr>
            <w:r w:rsidRPr="00202FA4">
              <w:rPr>
                <w:rFonts w:ascii="Garamond" w:hAnsi="Garamond"/>
                <w:sz w:val="22"/>
                <w:szCs w:val="24"/>
              </w:rPr>
              <w:t>Grading (and possibly accountability)</w:t>
            </w:r>
          </w:p>
        </w:tc>
        <w:tc>
          <w:tcPr>
            <w:tcW w:w="2210" w:type="pct"/>
            <w:tcBorders>
              <w:top w:val="single" w:sz="2" w:space="0" w:color="365F91" w:themeColor="accent1" w:themeShade="BF"/>
              <w:left w:val="single" w:sz="2" w:space="0" w:color="365F91" w:themeColor="accent1" w:themeShade="BF"/>
              <w:bottom w:val="single" w:sz="18" w:space="0" w:color="365F91" w:themeColor="accent1" w:themeShade="BF"/>
            </w:tcBorders>
          </w:tcPr>
          <w:p w14:paraId="0FAD76ED" w14:textId="6C6BE755" w:rsidR="00D0779D" w:rsidRPr="00202FA4" w:rsidRDefault="00D0779D" w:rsidP="00D0779D">
            <w:pPr>
              <w:pStyle w:val="p1"/>
              <w:ind w:firstLine="0"/>
              <w:rPr>
                <w:rFonts w:ascii="Garamond" w:hAnsi="Garamond"/>
                <w:b/>
                <w:sz w:val="22"/>
                <w:szCs w:val="24"/>
              </w:rPr>
            </w:pPr>
            <w:r w:rsidRPr="00202FA4">
              <w:rPr>
                <w:rFonts w:ascii="Garamond" w:hAnsi="Garamond"/>
                <w:b/>
                <w:sz w:val="22"/>
                <w:szCs w:val="24"/>
              </w:rPr>
              <w:t>Large-Unit examples</w:t>
            </w:r>
          </w:p>
          <w:p w14:paraId="18CD2705" w14:textId="0A77D48F" w:rsidR="00C05D8E"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Monthly e</w:t>
            </w:r>
            <w:r w:rsidR="00C05D8E" w:rsidRPr="00202FA4">
              <w:rPr>
                <w:rFonts w:ascii="Garamond" w:hAnsi="Garamond"/>
                <w:sz w:val="22"/>
                <w:szCs w:val="24"/>
              </w:rPr>
              <w:t>nd</w:t>
            </w:r>
            <w:r w:rsidRPr="00202FA4">
              <w:rPr>
                <w:rFonts w:ascii="Garamond" w:hAnsi="Garamond"/>
                <w:sz w:val="22"/>
                <w:szCs w:val="24"/>
              </w:rPr>
              <w:t>-</w:t>
            </w:r>
            <w:r w:rsidR="00C05D8E" w:rsidRPr="00202FA4">
              <w:rPr>
                <w:rFonts w:ascii="Garamond" w:hAnsi="Garamond"/>
                <w:sz w:val="22"/>
                <w:szCs w:val="24"/>
              </w:rPr>
              <w:t>of</w:t>
            </w:r>
            <w:r w:rsidRPr="00202FA4">
              <w:rPr>
                <w:rFonts w:ascii="Garamond" w:hAnsi="Garamond"/>
                <w:sz w:val="22"/>
                <w:szCs w:val="24"/>
              </w:rPr>
              <w:t>-</w:t>
            </w:r>
            <w:r w:rsidR="00C05D8E" w:rsidRPr="00202FA4">
              <w:rPr>
                <w:rFonts w:ascii="Garamond" w:hAnsi="Garamond"/>
                <w:sz w:val="22"/>
                <w:szCs w:val="24"/>
              </w:rPr>
              <w:t>unit exams</w:t>
            </w:r>
          </w:p>
          <w:p w14:paraId="115E9A66" w14:textId="618FE240" w:rsidR="00C05D8E" w:rsidRPr="00202FA4" w:rsidRDefault="00C05D8E" w:rsidP="007374F2">
            <w:pPr>
              <w:pStyle w:val="p1"/>
              <w:numPr>
                <w:ilvl w:val="0"/>
                <w:numId w:val="43"/>
              </w:numPr>
              <w:ind w:left="228" w:hanging="228"/>
              <w:rPr>
                <w:rFonts w:ascii="Garamond" w:hAnsi="Garamond"/>
                <w:sz w:val="22"/>
                <w:szCs w:val="24"/>
              </w:rPr>
            </w:pPr>
            <w:r w:rsidRPr="00202FA4">
              <w:rPr>
                <w:rFonts w:ascii="Garamond" w:hAnsi="Garamond"/>
                <w:sz w:val="22"/>
                <w:szCs w:val="24"/>
              </w:rPr>
              <w:t>Mid-term exams</w:t>
            </w:r>
            <w:r w:rsidR="00637695" w:rsidRPr="00202FA4">
              <w:rPr>
                <w:rFonts w:ascii="Garamond" w:hAnsi="Garamond"/>
                <w:sz w:val="22"/>
                <w:szCs w:val="24"/>
              </w:rPr>
              <w:t>/projects/papers/presentations</w:t>
            </w:r>
          </w:p>
          <w:p w14:paraId="3CCC0897" w14:textId="7EC9902D" w:rsidR="00C05D8E" w:rsidRPr="00202FA4" w:rsidRDefault="00C05D8E" w:rsidP="007374F2">
            <w:pPr>
              <w:pStyle w:val="p1"/>
              <w:numPr>
                <w:ilvl w:val="0"/>
                <w:numId w:val="43"/>
              </w:numPr>
              <w:ind w:left="228" w:hanging="228"/>
              <w:rPr>
                <w:rFonts w:ascii="Garamond" w:hAnsi="Garamond"/>
                <w:sz w:val="22"/>
                <w:szCs w:val="24"/>
              </w:rPr>
            </w:pPr>
            <w:r w:rsidRPr="00202FA4">
              <w:rPr>
                <w:rFonts w:ascii="Garamond" w:hAnsi="Garamond"/>
                <w:sz w:val="22"/>
                <w:szCs w:val="24"/>
              </w:rPr>
              <w:t xml:space="preserve">Quarterly </w:t>
            </w:r>
            <w:r w:rsidR="00D0779D" w:rsidRPr="00202FA4">
              <w:rPr>
                <w:rFonts w:ascii="Garamond" w:hAnsi="Garamond"/>
                <w:sz w:val="22"/>
                <w:szCs w:val="24"/>
              </w:rPr>
              <w:t xml:space="preserve">district common </w:t>
            </w:r>
            <w:r w:rsidRPr="00202FA4">
              <w:rPr>
                <w:rFonts w:ascii="Garamond" w:hAnsi="Garamond"/>
                <w:sz w:val="22"/>
                <w:szCs w:val="24"/>
              </w:rPr>
              <w:t>assessments</w:t>
            </w:r>
          </w:p>
          <w:p w14:paraId="0EB77591" w14:textId="77777777" w:rsidR="00D0779D" w:rsidRPr="00202FA4" w:rsidRDefault="00D0779D" w:rsidP="00D0779D">
            <w:pPr>
              <w:pStyle w:val="p1"/>
              <w:ind w:firstLine="0"/>
              <w:rPr>
                <w:rFonts w:ascii="Garamond" w:hAnsi="Garamond"/>
                <w:sz w:val="22"/>
                <w:szCs w:val="24"/>
              </w:rPr>
            </w:pPr>
          </w:p>
          <w:p w14:paraId="35FD5691" w14:textId="15C79174" w:rsidR="00D0779D" w:rsidRPr="00202FA4" w:rsidRDefault="00D0779D" w:rsidP="00D0779D">
            <w:pPr>
              <w:pStyle w:val="p1"/>
              <w:ind w:firstLine="0"/>
              <w:rPr>
                <w:rFonts w:ascii="Garamond" w:hAnsi="Garamond"/>
                <w:b/>
                <w:sz w:val="22"/>
                <w:szCs w:val="24"/>
              </w:rPr>
            </w:pPr>
            <w:r w:rsidRPr="00202FA4">
              <w:rPr>
                <w:rFonts w:ascii="Garamond" w:hAnsi="Garamond"/>
                <w:b/>
                <w:sz w:val="22"/>
                <w:szCs w:val="24"/>
              </w:rPr>
              <w:t>Small-Unit Examples</w:t>
            </w:r>
          </w:p>
          <w:p w14:paraId="637D4489" w14:textId="77777777"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Weekly quizzes</w:t>
            </w:r>
          </w:p>
          <w:p w14:paraId="7097E43F" w14:textId="77777777"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Weekly writing assignment</w:t>
            </w:r>
          </w:p>
          <w:p w14:paraId="52EEC75A" w14:textId="09BC5892"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Weekly homework assignments</w:t>
            </w:r>
          </w:p>
          <w:p w14:paraId="199E8B2B" w14:textId="53CBD527"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 xml:space="preserve">Daily homework (if </w:t>
            </w:r>
            <w:r w:rsidR="007374F2" w:rsidRPr="00202FA4">
              <w:rPr>
                <w:rFonts w:ascii="Garamond" w:hAnsi="Garamond"/>
                <w:sz w:val="22"/>
                <w:szCs w:val="24"/>
              </w:rPr>
              <w:t>used</w:t>
            </w:r>
            <w:r w:rsidRPr="00202FA4">
              <w:rPr>
                <w:rFonts w:ascii="Garamond" w:hAnsi="Garamond"/>
                <w:sz w:val="22"/>
                <w:szCs w:val="24"/>
              </w:rPr>
              <w:t xml:space="preserve"> into grades)</w:t>
            </w:r>
          </w:p>
          <w:p w14:paraId="6DE0F1AF" w14:textId="77777777" w:rsidR="00D0779D" w:rsidRPr="00202FA4" w:rsidRDefault="00D0779D" w:rsidP="00D0779D">
            <w:pPr>
              <w:pStyle w:val="p1"/>
              <w:ind w:firstLine="0"/>
              <w:rPr>
                <w:rFonts w:ascii="Garamond" w:hAnsi="Garamond"/>
                <w:sz w:val="22"/>
                <w:szCs w:val="24"/>
              </w:rPr>
            </w:pPr>
          </w:p>
          <w:p w14:paraId="6E42D674" w14:textId="4AB4B92E" w:rsidR="00D0779D" w:rsidRPr="00202FA4" w:rsidRDefault="00D0779D" w:rsidP="00D0779D">
            <w:pPr>
              <w:pStyle w:val="p1"/>
              <w:ind w:firstLine="0"/>
              <w:rPr>
                <w:rFonts w:ascii="Garamond" w:hAnsi="Garamond"/>
                <w:b/>
                <w:sz w:val="22"/>
                <w:szCs w:val="24"/>
              </w:rPr>
            </w:pPr>
            <w:r w:rsidRPr="00202FA4">
              <w:rPr>
                <w:rFonts w:ascii="Garamond" w:hAnsi="Garamond"/>
                <w:b/>
                <w:sz w:val="22"/>
                <w:szCs w:val="24"/>
              </w:rPr>
              <w:t>Examples that Work for Either</w:t>
            </w:r>
          </w:p>
          <w:p w14:paraId="3A43A8CE" w14:textId="69A4B1B8"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Pre-unit exams of unit pre-requisites</w:t>
            </w:r>
          </w:p>
          <w:p w14:paraId="7555FBA4" w14:textId="2CCBB08E" w:rsidR="00D0779D" w:rsidRPr="00202FA4" w:rsidRDefault="00D0779D" w:rsidP="007374F2">
            <w:pPr>
              <w:pStyle w:val="p1"/>
              <w:numPr>
                <w:ilvl w:val="0"/>
                <w:numId w:val="43"/>
              </w:numPr>
              <w:ind w:left="228" w:hanging="228"/>
              <w:rPr>
                <w:rFonts w:ascii="Garamond" w:hAnsi="Garamond"/>
                <w:sz w:val="22"/>
                <w:szCs w:val="24"/>
              </w:rPr>
            </w:pPr>
            <w:r w:rsidRPr="00202FA4">
              <w:rPr>
                <w:rFonts w:ascii="Garamond" w:hAnsi="Garamond"/>
                <w:sz w:val="22"/>
                <w:szCs w:val="24"/>
              </w:rPr>
              <w:t>Pre-unit exams of unit content</w:t>
            </w:r>
          </w:p>
        </w:tc>
      </w:tr>
    </w:tbl>
    <w:p w14:paraId="085177F8" w14:textId="699AF518" w:rsidR="00273653" w:rsidRPr="00FA32CC" w:rsidRDefault="00273653" w:rsidP="00FA32CC"/>
    <w:sectPr w:rsidR="00273653" w:rsidRPr="00FA32CC" w:rsidSect="00D0779D">
      <w:headerReference w:type="default" r:id="rId15"/>
      <w:footerReference w:type="default" r:id="rId1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BEB44B" w14:textId="77777777" w:rsidR="00B933F6" w:rsidRDefault="00B933F6" w:rsidP="00111E34">
      <w:r>
        <w:separator/>
      </w:r>
    </w:p>
  </w:endnote>
  <w:endnote w:type="continuationSeparator" w:id="0">
    <w:p w14:paraId="00134A15" w14:textId="77777777" w:rsidR="00B933F6" w:rsidRDefault="00B933F6"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8EB9EC"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5708BE3E" w14:textId="77777777" w:rsidTr="00942CBB">
      <w:tc>
        <w:tcPr>
          <w:tcW w:w="4423" w:type="pct"/>
          <w:vAlign w:val="center"/>
        </w:tcPr>
        <w:p w14:paraId="307F8B72"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28155FCB"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6443B7D3" wp14:editId="14F0107E">
                <wp:extent cx="1069848" cy="365760"/>
                <wp:effectExtent l="0" t="0" r="0" b="2540"/>
                <wp:docPr id="1" name="Graphic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05774604" w14:textId="77777777" w:rsidR="00942CBB" w:rsidRPr="0015351F" w:rsidRDefault="00942CBB" w:rsidP="00FB7AD9">
    <w:pPr>
      <w:pStyle w:val="Spacer"/>
      <w:rPr>
        <w:rFonts w:asciiTheme="majorHAnsi" w:hAnsiTheme="majorHAnsi" w:cstheme="majorHAnsi"/>
        <w:sz w:val="18"/>
        <w:szCs w:val="18"/>
      </w:rPr>
    </w:pPr>
    <w:bookmarkStart w:id="2" w:name="_Toc513434182"/>
  </w:p>
  <w:p w14:paraId="4BC5B3BC"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7A8D1A8B"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E42A0D" w14:textId="4D8E5D64" w:rsidR="003C2359" w:rsidRPr="003C2359" w:rsidRDefault="003C2359" w:rsidP="003C23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325E1B" w14:textId="77777777" w:rsidR="00B933F6" w:rsidRDefault="00B933F6" w:rsidP="00A177B9">
      <w:pPr>
        <w:spacing w:after="0"/>
      </w:pPr>
      <w:r>
        <w:separator/>
      </w:r>
    </w:p>
  </w:footnote>
  <w:footnote w:type="continuationSeparator" w:id="0">
    <w:p w14:paraId="3BEEF966" w14:textId="77777777" w:rsidR="00B933F6" w:rsidRDefault="00B933F6"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8024A" w14:textId="77777777" w:rsidR="00942CBB" w:rsidRPr="00DB127F" w:rsidRDefault="00942CBB" w:rsidP="00DB127F">
    <w:pPr>
      <w:pStyle w:val="Footer"/>
      <w:tabs>
        <w:tab w:val="left" w:pos="1060"/>
      </w:tabs>
      <w:rPr>
        <w:sz w:val="2"/>
        <w:szCs w:val="2"/>
      </w:rPr>
    </w:pPr>
  </w:p>
  <w:p w14:paraId="493CAB8C"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9FBEDC"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2885"/>
      <w:gridCol w:w="6113"/>
    </w:tblGrid>
    <w:tr w:rsidR="00942CBB" w:rsidRPr="00227847" w14:paraId="0B97F3D5" w14:textId="77777777" w:rsidTr="00D0779D">
      <w:tc>
        <w:tcPr>
          <w:tcW w:w="185" w:type="pct"/>
          <w:shd w:val="clear" w:color="auto" w:fill="F5F8FF"/>
          <w:tcMar>
            <w:top w:w="29" w:type="dxa"/>
            <w:left w:w="29" w:type="dxa"/>
            <w:bottom w:w="29" w:type="dxa"/>
            <w:right w:w="29" w:type="dxa"/>
          </w:tcMar>
          <w:vAlign w:val="center"/>
        </w:tcPr>
        <w:p w14:paraId="3369C973"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58B56865" wp14:editId="4272D47E">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544" w:type="pct"/>
          <w:shd w:val="clear" w:color="auto" w:fill="F5F8FF"/>
          <w:tcMar>
            <w:top w:w="29" w:type="dxa"/>
            <w:left w:w="29" w:type="dxa"/>
            <w:bottom w:w="29" w:type="dxa"/>
            <w:right w:w="29" w:type="dxa"/>
          </w:tcMar>
          <w:vAlign w:val="center"/>
        </w:tcPr>
        <w:p w14:paraId="7C621E36"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3271" w:type="pct"/>
          <w:shd w:val="clear" w:color="auto" w:fill="F5F8FF"/>
          <w:tcMar>
            <w:top w:w="29" w:type="dxa"/>
            <w:left w:w="29" w:type="dxa"/>
            <w:bottom w:w="29" w:type="dxa"/>
            <w:right w:w="29" w:type="dxa"/>
          </w:tcMar>
          <w:vAlign w:val="center"/>
        </w:tcPr>
        <w:p w14:paraId="5B2DEADC" w14:textId="646C9F7D" w:rsidR="00942CBB" w:rsidRPr="00227847" w:rsidRDefault="003C2359" w:rsidP="00942CBB">
          <w:pPr>
            <w:pStyle w:val="Header"/>
            <w:jc w:val="right"/>
            <w:rPr>
              <w:color w:val="95B3D7" w:themeColor="accent1" w:themeTint="99"/>
              <w:sz w:val="16"/>
              <w:szCs w:val="16"/>
            </w:rPr>
          </w:pPr>
          <w:r>
            <w:rPr>
              <w:color w:val="95B3D7" w:themeColor="accent1" w:themeTint="99"/>
              <w:sz w:val="16"/>
              <w:szCs w:val="16"/>
            </w:rPr>
            <w:t>Primer on Types of Assessment</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5F71FA29" w14:textId="77777777" w:rsidR="00942CBB" w:rsidRPr="0069510B" w:rsidRDefault="00942CBB"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3CC6F3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616EA8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6D224F6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F2775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A7AFFA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E16B13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2FC076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E66018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9A0BED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17E89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EC7F14"/>
    <w:multiLevelType w:val="hybridMultilevel"/>
    <w:tmpl w:val="E94EDC8C"/>
    <w:lvl w:ilvl="0" w:tplc="969A1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62965D9"/>
    <w:multiLevelType w:val="hybridMultilevel"/>
    <w:tmpl w:val="1A56B06C"/>
    <w:lvl w:ilvl="0" w:tplc="969A1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D15AFE"/>
    <w:multiLevelType w:val="hybridMultilevel"/>
    <w:tmpl w:val="856E61CE"/>
    <w:lvl w:ilvl="0" w:tplc="969A14A6">
      <w:start w:val="1"/>
      <w:numFmt w:val="bullet"/>
      <w:lvlText w:val=""/>
      <w:lvlJc w:val="left"/>
      <w:pPr>
        <w:ind w:left="720" w:hanging="360"/>
      </w:pPr>
      <w:rPr>
        <w:rFonts w:ascii="Symbol" w:hAnsi="Symbol" w:hint="default"/>
      </w:rPr>
    </w:lvl>
    <w:lvl w:ilvl="1" w:tplc="8BD4D382">
      <w:numFmt w:val="bullet"/>
      <w:lvlText w:val="•"/>
      <w:lvlJc w:val="left"/>
      <w:pPr>
        <w:ind w:left="1440" w:hanging="360"/>
      </w:pPr>
      <w:rPr>
        <w:rFonts w:ascii="Calibri Light" w:eastAsiaTheme="minorHAnsi" w:hAnsi="Calibri Light"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8"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1"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25824DE"/>
    <w:multiLevelType w:val="hybridMultilevel"/>
    <w:tmpl w:val="2E62B2AA"/>
    <w:lvl w:ilvl="0" w:tplc="969A1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9"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741452D"/>
    <w:multiLevelType w:val="hybridMultilevel"/>
    <w:tmpl w:val="2132F0F6"/>
    <w:lvl w:ilvl="0" w:tplc="969A1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643A5CE8"/>
    <w:multiLevelType w:val="hybridMultilevel"/>
    <w:tmpl w:val="E7A08ABA"/>
    <w:lvl w:ilvl="0" w:tplc="969A14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5"/>
  </w:num>
  <w:num w:numId="12">
    <w:abstractNumId w:val="18"/>
  </w:num>
  <w:num w:numId="13">
    <w:abstractNumId w:val="14"/>
  </w:num>
  <w:num w:numId="14">
    <w:abstractNumId w:val="25"/>
  </w:num>
  <w:num w:numId="15">
    <w:abstractNumId w:val="26"/>
  </w:num>
  <w:num w:numId="16">
    <w:abstractNumId w:val="27"/>
  </w:num>
  <w:num w:numId="17">
    <w:abstractNumId w:val="40"/>
  </w:num>
  <w:num w:numId="18">
    <w:abstractNumId w:val="39"/>
  </w:num>
  <w:num w:numId="19">
    <w:abstractNumId w:val="19"/>
  </w:num>
  <w:num w:numId="20">
    <w:abstractNumId w:val="43"/>
  </w:num>
  <w:num w:numId="21">
    <w:abstractNumId w:val="30"/>
  </w:num>
  <w:num w:numId="22">
    <w:abstractNumId w:val="41"/>
  </w:num>
  <w:num w:numId="23">
    <w:abstractNumId w:val="28"/>
  </w:num>
  <w:num w:numId="24">
    <w:abstractNumId w:val="20"/>
  </w:num>
  <w:num w:numId="25">
    <w:abstractNumId w:val="36"/>
  </w:num>
  <w:num w:numId="26">
    <w:abstractNumId w:val="10"/>
  </w:num>
  <w:num w:numId="27">
    <w:abstractNumId w:val="23"/>
  </w:num>
  <w:num w:numId="28">
    <w:abstractNumId w:val="16"/>
  </w:num>
  <w:num w:numId="29">
    <w:abstractNumId w:val="33"/>
  </w:num>
  <w:num w:numId="30">
    <w:abstractNumId w:val="17"/>
  </w:num>
  <w:num w:numId="31">
    <w:abstractNumId w:val="22"/>
  </w:num>
  <w:num w:numId="32">
    <w:abstractNumId w:val="31"/>
  </w:num>
  <w:num w:numId="33">
    <w:abstractNumId w:val="21"/>
  </w:num>
  <w:num w:numId="34">
    <w:abstractNumId w:val="15"/>
  </w:num>
  <w:num w:numId="35">
    <w:abstractNumId w:val="34"/>
  </w:num>
  <w:num w:numId="36">
    <w:abstractNumId w:val="38"/>
  </w:num>
  <w:num w:numId="37">
    <w:abstractNumId w:val="29"/>
  </w:num>
  <w:num w:numId="38">
    <w:abstractNumId w:val="45"/>
  </w:num>
  <w:num w:numId="39">
    <w:abstractNumId w:val="37"/>
  </w:num>
  <w:num w:numId="40">
    <w:abstractNumId w:val="44"/>
  </w:num>
  <w:num w:numId="41">
    <w:abstractNumId w:val="24"/>
  </w:num>
  <w:num w:numId="42">
    <w:abstractNumId w:val="32"/>
  </w:num>
  <w:num w:numId="43">
    <w:abstractNumId w:val="12"/>
  </w:num>
  <w:num w:numId="44">
    <w:abstractNumId w:val="11"/>
  </w:num>
  <w:num w:numId="45">
    <w:abstractNumId w:val="13"/>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23208"/>
    <w:rsid w:val="00045EDF"/>
    <w:rsid w:val="0006233B"/>
    <w:rsid w:val="00062B16"/>
    <w:rsid w:val="00064B48"/>
    <w:rsid w:val="0007033C"/>
    <w:rsid w:val="00076796"/>
    <w:rsid w:val="00077F20"/>
    <w:rsid w:val="00080D12"/>
    <w:rsid w:val="00082E94"/>
    <w:rsid w:val="00085200"/>
    <w:rsid w:val="00095CDC"/>
    <w:rsid w:val="000A0F09"/>
    <w:rsid w:val="000A4594"/>
    <w:rsid w:val="000A7183"/>
    <w:rsid w:val="000B57B7"/>
    <w:rsid w:val="000B5FE7"/>
    <w:rsid w:val="000C6D72"/>
    <w:rsid w:val="000C7D2C"/>
    <w:rsid w:val="000D7DC6"/>
    <w:rsid w:val="000F2F27"/>
    <w:rsid w:val="00101EC9"/>
    <w:rsid w:val="0010615D"/>
    <w:rsid w:val="00111E34"/>
    <w:rsid w:val="001203A7"/>
    <w:rsid w:val="0012557E"/>
    <w:rsid w:val="00132CFE"/>
    <w:rsid w:val="001334BD"/>
    <w:rsid w:val="00152AD9"/>
    <w:rsid w:val="0015351F"/>
    <w:rsid w:val="00156A8A"/>
    <w:rsid w:val="0016548E"/>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02FA4"/>
    <w:rsid w:val="00203AA1"/>
    <w:rsid w:val="00217F20"/>
    <w:rsid w:val="00227847"/>
    <w:rsid w:val="0023114B"/>
    <w:rsid w:val="00233520"/>
    <w:rsid w:val="0023359A"/>
    <w:rsid w:val="0023767A"/>
    <w:rsid w:val="002442E5"/>
    <w:rsid w:val="002477B7"/>
    <w:rsid w:val="00255BBE"/>
    <w:rsid w:val="00262CA2"/>
    <w:rsid w:val="002666AA"/>
    <w:rsid w:val="00272F18"/>
    <w:rsid w:val="00273653"/>
    <w:rsid w:val="002A0E7E"/>
    <w:rsid w:val="002B2364"/>
    <w:rsid w:val="002B30D1"/>
    <w:rsid w:val="002B7D9E"/>
    <w:rsid w:val="002C1D3E"/>
    <w:rsid w:val="002C2622"/>
    <w:rsid w:val="002E3BAF"/>
    <w:rsid w:val="002E440A"/>
    <w:rsid w:val="002E52DF"/>
    <w:rsid w:val="002E58FA"/>
    <w:rsid w:val="002F153A"/>
    <w:rsid w:val="00300099"/>
    <w:rsid w:val="003053FD"/>
    <w:rsid w:val="00305562"/>
    <w:rsid w:val="00307B42"/>
    <w:rsid w:val="00311A06"/>
    <w:rsid w:val="00313AEC"/>
    <w:rsid w:val="00317CE9"/>
    <w:rsid w:val="003300C3"/>
    <w:rsid w:val="00330ADC"/>
    <w:rsid w:val="003408A0"/>
    <w:rsid w:val="003477BC"/>
    <w:rsid w:val="00356344"/>
    <w:rsid w:val="00357338"/>
    <w:rsid w:val="003610B5"/>
    <w:rsid w:val="003616B3"/>
    <w:rsid w:val="00361A48"/>
    <w:rsid w:val="0037578B"/>
    <w:rsid w:val="00377FCF"/>
    <w:rsid w:val="00382267"/>
    <w:rsid w:val="00383565"/>
    <w:rsid w:val="00396B80"/>
    <w:rsid w:val="003A61F9"/>
    <w:rsid w:val="003B1203"/>
    <w:rsid w:val="003B79F6"/>
    <w:rsid w:val="003C2359"/>
    <w:rsid w:val="003D2C97"/>
    <w:rsid w:val="003D41B3"/>
    <w:rsid w:val="003E0C46"/>
    <w:rsid w:val="003E1989"/>
    <w:rsid w:val="00421286"/>
    <w:rsid w:val="00427852"/>
    <w:rsid w:val="00430105"/>
    <w:rsid w:val="00433645"/>
    <w:rsid w:val="004451B7"/>
    <w:rsid w:val="00447425"/>
    <w:rsid w:val="0045222B"/>
    <w:rsid w:val="00452680"/>
    <w:rsid w:val="00461ABB"/>
    <w:rsid w:val="0046480F"/>
    <w:rsid w:val="00464F87"/>
    <w:rsid w:val="00465F73"/>
    <w:rsid w:val="0047110D"/>
    <w:rsid w:val="004759C7"/>
    <w:rsid w:val="00490703"/>
    <w:rsid w:val="004B7872"/>
    <w:rsid w:val="004C1BA4"/>
    <w:rsid w:val="004C2C5B"/>
    <w:rsid w:val="004C33A9"/>
    <w:rsid w:val="004C6B10"/>
    <w:rsid w:val="004E22EB"/>
    <w:rsid w:val="004E348D"/>
    <w:rsid w:val="004F7F80"/>
    <w:rsid w:val="0053619D"/>
    <w:rsid w:val="005425F0"/>
    <w:rsid w:val="005509B8"/>
    <w:rsid w:val="00555BC4"/>
    <w:rsid w:val="005613ED"/>
    <w:rsid w:val="00566124"/>
    <w:rsid w:val="00571D25"/>
    <w:rsid w:val="00580D0C"/>
    <w:rsid w:val="00581676"/>
    <w:rsid w:val="00581DC2"/>
    <w:rsid w:val="00586A0D"/>
    <w:rsid w:val="005A6D07"/>
    <w:rsid w:val="005B09E7"/>
    <w:rsid w:val="005C030E"/>
    <w:rsid w:val="005C5A96"/>
    <w:rsid w:val="005D341D"/>
    <w:rsid w:val="005E18F0"/>
    <w:rsid w:val="005E2935"/>
    <w:rsid w:val="00620993"/>
    <w:rsid w:val="00624121"/>
    <w:rsid w:val="00637695"/>
    <w:rsid w:val="006410A1"/>
    <w:rsid w:val="00660021"/>
    <w:rsid w:val="00663725"/>
    <w:rsid w:val="00675967"/>
    <w:rsid w:val="0068701D"/>
    <w:rsid w:val="00687424"/>
    <w:rsid w:val="00691DAB"/>
    <w:rsid w:val="0069510B"/>
    <w:rsid w:val="006963D6"/>
    <w:rsid w:val="006A6985"/>
    <w:rsid w:val="006D399A"/>
    <w:rsid w:val="006D5269"/>
    <w:rsid w:val="006E04A4"/>
    <w:rsid w:val="006F4DBA"/>
    <w:rsid w:val="007009E8"/>
    <w:rsid w:val="007212A2"/>
    <w:rsid w:val="00723D6B"/>
    <w:rsid w:val="007374F2"/>
    <w:rsid w:val="00740098"/>
    <w:rsid w:val="007418B5"/>
    <w:rsid w:val="00747E0D"/>
    <w:rsid w:val="0075051E"/>
    <w:rsid w:val="00750554"/>
    <w:rsid w:val="00753657"/>
    <w:rsid w:val="007564C0"/>
    <w:rsid w:val="00783F52"/>
    <w:rsid w:val="00785DA4"/>
    <w:rsid w:val="00791F90"/>
    <w:rsid w:val="0079500D"/>
    <w:rsid w:val="007A760A"/>
    <w:rsid w:val="007A7E0B"/>
    <w:rsid w:val="007B16D7"/>
    <w:rsid w:val="007B5E16"/>
    <w:rsid w:val="007C1E6E"/>
    <w:rsid w:val="007C7475"/>
    <w:rsid w:val="007E37EE"/>
    <w:rsid w:val="007E7FDA"/>
    <w:rsid w:val="007F0163"/>
    <w:rsid w:val="00801643"/>
    <w:rsid w:val="0080495C"/>
    <w:rsid w:val="00821363"/>
    <w:rsid w:val="008267A0"/>
    <w:rsid w:val="0083163B"/>
    <w:rsid w:val="00833BE8"/>
    <w:rsid w:val="008362E1"/>
    <w:rsid w:val="0084380E"/>
    <w:rsid w:val="00860B3D"/>
    <w:rsid w:val="008645F1"/>
    <w:rsid w:val="00865E83"/>
    <w:rsid w:val="0087536C"/>
    <w:rsid w:val="00876761"/>
    <w:rsid w:val="00885522"/>
    <w:rsid w:val="00887EC4"/>
    <w:rsid w:val="008A1D72"/>
    <w:rsid w:val="008A3CDD"/>
    <w:rsid w:val="008A460A"/>
    <w:rsid w:val="008B7D45"/>
    <w:rsid w:val="008F0665"/>
    <w:rsid w:val="008F407B"/>
    <w:rsid w:val="009036A3"/>
    <w:rsid w:val="009204DD"/>
    <w:rsid w:val="00920B48"/>
    <w:rsid w:val="00921CDB"/>
    <w:rsid w:val="00942CBB"/>
    <w:rsid w:val="00943B7B"/>
    <w:rsid w:val="00947BAD"/>
    <w:rsid w:val="009724E3"/>
    <w:rsid w:val="009813A1"/>
    <w:rsid w:val="00983729"/>
    <w:rsid w:val="00991D06"/>
    <w:rsid w:val="00995F10"/>
    <w:rsid w:val="00997A0F"/>
    <w:rsid w:val="009A0AD9"/>
    <w:rsid w:val="009A2BBA"/>
    <w:rsid w:val="009A59FF"/>
    <w:rsid w:val="009B7B83"/>
    <w:rsid w:val="009C2FB5"/>
    <w:rsid w:val="009C40C8"/>
    <w:rsid w:val="009D7A9A"/>
    <w:rsid w:val="00A029A0"/>
    <w:rsid w:val="00A16CCB"/>
    <w:rsid w:val="00A177B9"/>
    <w:rsid w:val="00A2070D"/>
    <w:rsid w:val="00A224B4"/>
    <w:rsid w:val="00A25010"/>
    <w:rsid w:val="00A26736"/>
    <w:rsid w:val="00A26A92"/>
    <w:rsid w:val="00A30CB7"/>
    <w:rsid w:val="00A35D71"/>
    <w:rsid w:val="00A538B2"/>
    <w:rsid w:val="00A62E1F"/>
    <w:rsid w:val="00A63192"/>
    <w:rsid w:val="00A77F7E"/>
    <w:rsid w:val="00A83B46"/>
    <w:rsid w:val="00A86719"/>
    <w:rsid w:val="00AC0E9A"/>
    <w:rsid w:val="00AC3C60"/>
    <w:rsid w:val="00AD5741"/>
    <w:rsid w:val="00AF721D"/>
    <w:rsid w:val="00B10E95"/>
    <w:rsid w:val="00B11B14"/>
    <w:rsid w:val="00B15358"/>
    <w:rsid w:val="00B17966"/>
    <w:rsid w:val="00B343AE"/>
    <w:rsid w:val="00B3540D"/>
    <w:rsid w:val="00B42624"/>
    <w:rsid w:val="00B5504A"/>
    <w:rsid w:val="00B62191"/>
    <w:rsid w:val="00B83B69"/>
    <w:rsid w:val="00B933F6"/>
    <w:rsid w:val="00BA2FEF"/>
    <w:rsid w:val="00BA33A9"/>
    <w:rsid w:val="00BB08D0"/>
    <w:rsid w:val="00BB7108"/>
    <w:rsid w:val="00BC1B8D"/>
    <w:rsid w:val="00C02532"/>
    <w:rsid w:val="00C05D8E"/>
    <w:rsid w:val="00C060FB"/>
    <w:rsid w:val="00C1684B"/>
    <w:rsid w:val="00C17AB3"/>
    <w:rsid w:val="00C31A78"/>
    <w:rsid w:val="00C34D86"/>
    <w:rsid w:val="00C42580"/>
    <w:rsid w:val="00C52F26"/>
    <w:rsid w:val="00C53DC1"/>
    <w:rsid w:val="00C5496E"/>
    <w:rsid w:val="00C60E02"/>
    <w:rsid w:val="00C61DA9"/>
    <w:rsid w:val="00C907E1"/>
    <w:rsid w:val="00CC246E"/>
    <w:rsid w:val="00CD0880"/>
    <w:rsid w:val="00CD5666"/>
    <w:rsid w:val="00CD7F6B"/>
    <w:rsid w:val="00CF5AE1"/>
    <w:rsid w:val="00D07520"/>
    <w:rsid w:val="00D0779D"/>
    <w:rsid w:val="00D148FF"/>
    <w:rsid w:val="00D14CAE"/>
    <w:rsid w:val="00D46588"/>
    <w:rsid w:val="00D51400"/>
    <w:rsid w:val="00D544A4"/>
    <w:rsid w:val="00D54827"/>
    <w:rsid w:val="00D57752"/>
    <w:rsid w:val="00D6757E"/>
    <w:rsid w:val="00D70FBE"/>
    <w:rsid w:val="00D9077F"/>
    <w:rsid w:val="00D9317D"/>
    <w:rsid w:val="00DB127F"/>
    <w:rsid w:val="00DC02F1"/>
    <w:rsid w:val="00DC0CC7"/>
    <w:rsid w:val="00DC52D0"/>
    <w:rsid w:val="00DC72F5"/>
    <w:rsid w:val="00DD229A"/>
    <w:rsid w:val="00DD438D"/>
    <w:rsid w:val="00DE25A6"/>
    <w:rsid w:val="00DE44EE"/>
    <w:rsid w:val="00DE5ACC"/>
    <w:rsid w:val="00E156E1"/>
    <w:rsid w:val="00E41DDE"/>
    <w:rsid w:val="00E568C4"/>
    <w:rsid w:val="00E616E1"/>
    <w:rsid w:val="00E727F5"/>
    <w:rsid w:val="00E7659A"/>
    <w:rsid w:val="00E91CB2"/>
    <w:rsid w:val="00E958A9"/>
    <w:rsid w:val="00EC5A74"/>
    <w:rsid w:val="00EF5ED9"/>
    <w:rsid w:val="00F016B1"/>
    <w:rsid w:val="00F06EC0"/>
    <w:rsid w:val="00F13302"/>
    <w:rsid w:val="00F24C61"/>
    <w:rsid w:val="00F327CC"/>
    <w:rsid w:val="00F33433"/>
    <w:rsid w:val="00F44102"/>
    <w:rsid w:val="00F45BF7"/>
    <w:rsid w:val="00F7159C"/>
    <w:rsid w:val="00F748F5"/>
    <w:rsid w:val="00F84B3C"/>
    <w:rsid w:val="00F87A52"/>
    <w:rsid w:val="00FA01A9"/>
    <w:rsid w:val="00FA32CC"/>
    <w:rsid w:val="00FA37DD"/>
    <w:rsid w:val="00FA382D"/>
    <w:rsid w:val="00FB03C0"/>
    <w:rsid w:val="00FB064E"/>
    <w:rsid w:val="00FB7AD9"/>
    <w:rsid w:val="00FC14D0"/>
    <w:rsid w:val="00FD2231"/>
    <w:rsid w:val="00FE21BD"/>
    <w:rsid w:val="00FE5C7B"/>
    <w:rsid w:val="00FE7973"/>
    <w:rsid w:val="00FF5E5F"/>
    <w:rsid w:val="00FF68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261823"/>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6E04A4"/>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F84B3C"/>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customStyle="1" w:styleId="p1">
    <w:name w:val="p1"/>
    <w:basedOn w:val="Normal"/>
    <w:rsid w:val="00FA32CC"/>
    <w:pPr>
      <w:spacing w:after="0"/>
    </w:pPr>
    <w:rPr>
      <w:rFonts w:ascii="Helvetica" w:eastAsiaTheme="minorHAnsi" w:hAnsi="Helvetica"/>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34AC41-1121-A04F-B1DD-32335F5B0B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247</TotalTime>
  <Pages>4</Pages>
  <Words>1372</Words>
  <Characters>7824</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44</cp:revision>
  <dcterms:created xsi:type="dcterms:W3CDTF">2018-05-30T18:57:00Z</dcterms:created>
  <dcterms:modified xsi:type="dcterms:W3CDTF">2018-06-05T07:08:00Z</dcterms:modified>
</cp:coreProperties>
</file>