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FC28A5" w:rsidRPr="00EE1A8F" w:rsidRDefault="00FC28A5" w:rsidP="00FC28A5">
      <w:pPr>
        <w:rPr>
          <w:rFonts w:eastAsia="Times New Roman" w:cs="Calibri"/>
          <w:color w:val="000000"/>
          <w:sz w:val="2"/>
          <w:szCs w:val="2"/>
        </w:rPr>
      </w:pPr>
    </w:p>
    <w:p w:rsidR="00FC28A5" w:rsidRDefault="00FC28A5" w:rsidP="00FC28A5">
      <w:pPr>
        <w:rPr>
          <w:rFonts w:eastAsia="Times New Roman" w:cs="Calibri"/>
          <w:color w:val="000000"/>
        </w:rPr>
        <w:sectPr w:rsidR="00FC28A5" w:rsidSect="007B6F67">
          <w:headerReference w:type="default" r:id="rId7"/>
          <w:footerReference w:type="even" r:id="rId8"/>
          <w:footerReference w:type="default" r:id="rId9"/>
          <w:pgSz w:w="12240" w:h="15840"/>
          <w:pgMar w:top="1440" w:right="1440" w:bottom="1440" w:left="1440" w:header="720" w:footer="720" w:gutter="0"/>
          <w:cols w:space="720"/>
          <w:docGrid w:linePitch="360"/>
        </w:sectPr>
      </w:pPr>
    </w:p>
    <w:p w:rsidR="00FC28A5" w:rsidRPr="00E901DF" w:rsidRDefault="00FC28A5" w:rsidP="00FC28A5">
      <w:pPr>
        <w:rPr>
          <w:rFonts w:eastAsia="Times New Roman" w:cs="Calibri"/>
          <w:color w:val="000000"/>
          <w:sz w:val="2"/>
          <w:szCs w:val="2"/>
        </w:rPr>
      </w:pPr>
    </w:p>
    <w:tbl>
      <w:tblPr>
        <w:tblW w:w="9352" w:type="dxa"/>
        <w:tblBorders>
          <w:top w:val="single" w:sz="6" w:space="0" w:color="D9E2F3" w:themeColor="accent1" w:themeTint="33"/>
          <w:left w:val="single" w:sz="6" w:space="0" w:color="D9E2F3" w:themeColor="accent1" w:themeTint="33"/>
          <w:bottom w:val="single" w:sz="6" w:space="0" w:color="D9E2F3" w:themeColor="accent1" w:themeTint="33"/>
          <w:right w:val="single" w:sz="6" w:space="0" w:color="D9E2F3"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72"/>
        <w:gridCol w:w="7380"/>
      </w:tblGrid>
      <w:tr w:rsidR="00FC28A5" w:rsidRPr="004B7872" w:rsidTr="00501A0E">
        <w:tc>
          <w:tcPr>
            <w:tcW w:w="1972" w:type="dxa"/>
            <w:vMerge w:val="restart"/>
            <w:shd w:val="clear" w:color="auto" w:fill="F5F8FF"/>
            <w:tcMar>
              <w:right w:w="144" w:type="dxa"/>
            </w:tcMar>
          </w:tcPr>
          <w:p w:rsidR="00FC28A5" w:rsidRPr="004B7872" w:rsidRDefault="00FC28A5" w:rsidP="00501A0E">
            <w:pPr>
              <w:ind w:hanging="6"/>
              <w:rPr>
                <w:rFonts w:asciiTheme="minorHAnsi" w:hAnsiTheme="minorHAnsi"/>
                <w:b/>
                <w:color w:val="4472C4" w:themeColor="accent1"/>
                <w:sz w:val="40"/>
              </w:rPr>
            </w:pPr>
            <w:r>
              <w:rPr>
                <w:rFonts w:asciiTheme="minorHAnsi" w:hAnsiTheme="minorHAnsi"/>
                <w:b/>
                <w:noProof/>
                <w:color w:val="4472C4" w:themeColor="accent1"/>
                <w:sz w:val="40"/>
              </w:rPr>
              <w:drawing>
                <wp:inline distT="0" distB="0" distL="0" distR="0" wp14:anchorId="0CFF8682" wp14:editId="41D7DF53">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10">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380" w:type="dxa"/>
            <w:shd w:val="clear" w:color="auto" w:fill="F5F8FF"/>
            <w:tcMar>
              <w:top w:w="0" w:type="dxa"/>
              <w:left w:w="0" w:type="dxa"/>
            </w:tcMar>
          </w:tcPr>
          <w:p w:rsidR="00FC28A5" w:rsidRPr="0048720F" w:rsidRDefault="00FC28A5" w:rsidP="00501A0E">
            <w:pPr>
              <w:rPr>
                <w:rFonts w:asciiTheme="minorHAnsi" w:hAnsiTheme="minorHAnsi"/>
                <w:b/>
                <w:color w:val="2F5496" w:themeColor="accent1" w:themeShade="BF"/>
                <w:sz w:val="36"/>
                <w:szCs w:val="36"/>
              </w:rPr>
            </w:pPr>
            <w:r w:rsidRPr="004B7872">
              <w:rPr>
                <w:rFonts w:asciiTheme="minorHAnsi" w:hAnsiTheme="minorHAnsi"/>
                <w:b/>
                <w:color w:val="2F5496" w:themeColor="accent1" w:themeShade="BF"/>
                <w:sz w:val="36"/>
                <w:szCs w:val="36"/>
              </w:rPr>
              <w:t>District Assessment System Design Toolkit</w:t>
            </w:r>
          </w:p>
          <w:p w:rsidR="00FC28A5" w:rsidRPr="004B7872" w:rsidRDefault="00FC28A5" w:rsidP="00501A0E">
            <w:pPr>
              <w:pStyle w:val="Spacer"/>
              <w:rPr>
                <w:rFonts w:asciiTheme="minorHAnsi" w:hAnsiTheme="minorHAnsi" w:cstheme="minorHAnsi"/>
                <w:i/>
                <w:color w:val="4472C4" w:themeColor="accent1"/>
                <w:sz w:val="36"/>
                <w:szCs w:val="36"/>
              </w:rPr>
            </w:pPr>
            <w:r>
              <w:rPr>
                <w:rFonts w:asciiTheme="minorHAnsi" w:hAnsiTheme="minorHAnsi" w:cstheme="minorHAnsi"/>
                <w:i/>
                <w:color w:val="2F5496" w:themeColor="accent1" w:themeShade="BF"/>
                <w:sz w:val="36"/>
                <w:szCs w:val="36"/>
              </w:rPr>
              <w:t>Project Report</w:t>
            </w:r>
          </w:p>
        </w:tc>
      </w:tr>
      <w:tr w:rsidR="00FC28A5" w:rsidRPr="004B7872" w:rsidTr="00501A0E">
        <w:tc>
          <w:tcPr>
            <w:tcW w:w="1972" w:type="dxa"/>
            <w:vMerge/>
            <w:shd w:val="clear" w:color="auto" w:fill="F5F8FF"/>
          </w:tcPr>
          <w:p w:rsidR="00FC28A5" w:rsidRPr="004B7872" w:rsidRDefault="00FC28A5" w:rsidP="00501A0E">
            <w:pPr>
              <w:rPr>
                <w:rFonts w:asciiTheme="minorHAnsi" w:hAnsiTheme="minorHAnsi"/>
                <w:b/>
                <w:color w:val="4472C4" w:themeColor="accent1"/>
                <w:sz w:val="40"/>
              </w:rPr>
            </w:pPr>
          </w:p>
        </w:tc>
        <w:tc>
          <w:tcPr>
            <w:tcW w:w="7380" w:type="dxa"/>
            <w:shd w:val="clear" w:color="auto" w:fill="F5F8FF"/>
            <w:tcMar>
              <w:left w:w="0" w:type="dxa"/>
            </w:tcMar>
            <w:vAlign w:val="bottom"/>
          </w:tcPr>
          <w:p w:rsidR="00FC28A5" w:rsidRPr="00A25010" w:rsidRDefault="00FC28A5" w:rsidP="00501A0E">
            <w:pPr>
              <w:pStyle w:val="Spacer"/>
              <w:rPr>
                <w:rFonts w:ascii="Calibri Light" w:hAnsi="Calibri Light"/>
                <w:i/>
                <w:color w:val="4472C4" w:themeColor="accent1"/>
                <w:sz w:val="16"/>
                <w:szCs w:val="28"/>
              </w:rPr>
            </w:pPr>
            <w:r>
              <w:rPr>
                <w:rFonts w:ascii="Calibri Light" w:hAnsi="Calibri Light"/>
                <w:i/>
                <w:color w:val="4472C4" w:themeColor="accent1"/>
                <w:sz w:val="28"/>
                <w:szCs w:val="28"/>
              </w:rPr>
              <w:t>Version 0.9 (beta) r</w:t>
            </w:r>
            <w:r w:rsidRPr="00A25010">
              <w:rPr>
                <w:rFonts w:ascii="Calibri Light" w:hAnsi="Calibri Light"/>
                <w:i/>
                <w:color w:val="4472C4" w:themeColor="accent1"/>
                <w:sz w:val="28"/>
                <w:szCs w:val="28"/>
              </w:rPr>
              <w:t>eleased June 29, 2018</w:t>
            </w:r>
          </w:p>
        </w:tc>
      </w:tr>
    </w:tbl>
    <w:p w:rsidR="00FC28A5" w:rsidRDefault="00FC28A5" w:rsidP="00FC28A5">
      <w:pPr>
        <w:rPr>
          <w:sz w:val="20"/>
          <w:szCs w:val="20"/>
        </w:rPr>
      </w:pPr>
    </w:p>
    <w:p w:rsidR="00FC28A5" w:rsidRDefault="00FC28A5" w:rsidP="00FC28A5">
      <w:pPr>
        <w:rPr>
          <w:sz w:val="20"/>
          <w:szCs w:val="20"/>
        </w:rPr>
      </w:pPr>
    </w:p>
    <w:p w:rsidR="00FC28A5" w:rsidRDefault="00FC28A5" w:rsidP="00FC28A5">
      <w:pPr>
        <w:rPr>
          <w:sz w:val="20"/>
          <w:szCs w:val="20"/>
        </w:rPr>
      </w:pPr>
    </w:p>
    <w:p w:rsidR="00FC28A5" w:rsidRDefault="00FC28A5" w:rsidP="00FC28A5">
      <w:pPr>
        <w:rPr>
          <w:sz w:val="20"/>
          <w:szCs w:val="20"/>
        </w:rPr>
      </w:pPr>
    </w:p>
    <w:p w:rsidR="00FC28A5" w:rsidRDefault="00FC28A5" w:rsidP="00FC28A5">
      <w:pPr>
        <w:rPr>
          <w:sz w:val="20"/>
          <w:szCs w:val="20"/>
        </w:rPr>
      </w:pPr>
    </w:p>
    <w:p w:rsidR="00FC28A5" w:rsidRPr="007952FA" w:rsidRDefault="00FC28A5" w:rsidP="00FC28A5">
      <w:pPr>
        <w:rPr>
          <w:sz w:val="20"/>
          <w:szCs w:val="20"/>
        </w:rPr>
      </w:pPr>
    </w:p>
    <w:p w:rsidR="00FC28A5" w:rsidRPr="00295AF3" w:rsidRDefault="00FC28A5" w:rsidP="00FC28A5">
      <w:pPr>
        <w:jc w:val="center"/>
        <w:rPr>
          <w:rFonts w:asciiTheme="minorHAnsi" w:hAnsiTheme="minorHAnsi" w:cstheme="minorHAnsi"/>
          <w:b/>
          <w:color w:val="4472C4" w:themeColor="accent1"/>
        </w:rPr>
      </w:pPr>
      <w:r w:rsidRPr="00295AF3">
        <w:rPr>
          <w:rFonts w:asciiTheme="minorHAnsi" w:hAnsiTheme="minorHAnsi" w:cstheme="minorHAnsi"/>
          <w:b/>
          <w:color w:val="4472C4" w:themeColor="accent1"/>
        </w:rPr>
        <w:t>Developed By</w:t>
      </w:r>
    </w:p>
    <w:p w:rsidR="00FC28A5" w:rsidRPr="00295AF3" w:rsidRDefault="00FC28A5" w:rsidP="00FC28A5"/>
    <w:p w:rsidR="00FC28A5" w:rsidRPr="00295AF3" w:rsidRDefault="00FC28A5" w:rsidP="00FC28A5"/>
    <w:tbl>
      <w:tblPr>
        <w:tblW w:w="5000" w:type="pct"/>
        <w:tblBorders>
          <w:top w:val="single" w:sz="4" w:space="0" w:color="D9E2F3" w:themeColor="accent1" w:themeTint="33"/>
          <w:bottom w:val="single" w:sz="4" w:space="0" w:color="D9E2F3" w:themeColor="accent1" w:themeTint="33"/>
          <w:insideH w:val="single" w:sz="4" w:space="0" w:color="D9E2F3"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FC28A5" w:rsidRPr="00295AF3" w:rsidTr="00501A0E">
        <w:tc>
          <w:tcPr>
            <w:tcW w:w="1367" w:type="pct"/>
            <w:vAlign w:val="center"/>
          </w:tcPr>
          <w:p w:rsidR="00FC28A5" w:rsidRPr="00295AF3" w:rsidRDefault="00FC28A5" w:rsidP="00501A0E">
            <w:pPr>
              <w:pStyle w:val="Space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Joseph Martineau</w:t>
            </w:r>
          </w:p>
        </w:tc>
        <w:tc>
          <w:tcPr>
            <w:tcW w:w="2948"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color w:val="4472C4" w:themeColor="accent1"/>
              </w:rPr>
              <w:t>Senior Associate</w:t>
            </w:r>
          </w:p>
        </w:tc>
        <w:tc>
          <w:tcPr>
            <w:tcW w:w="685"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noProof/>
                <w:color w:val="4472C4" w:themeColor="accent1"/>
                <w:lang w:eastAsia="en-US"/>
              </w:rPr>
              <w:drawing>
                <wp:inline distT="0" distB="0" distL="0" distR="0" wp14:anchorId="119F528A" wp14:editId="282E3460">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FC28A5" w:rsidRPr="00295AF3" w:rsidTr="00501A0E">
        <w:tc>
          <w:tcPr>
            <w:tcW w:w="1367" w:type="pct"/>
            <w:vAlign w:val="center"/>
          </w:tcPr>
          <w:p w:rsidR="00FC28A5" w:rsidRPr="00295AF3" w:rsidRDefault="00FC28A5" w:rsidP="00501A0E">
            <w:pPr>
              <w:pStyle w:val="Space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Kathy Dewsbury-White</w:t>
            </w:r>
          </w:p>
          <w:p w:rsidR="00FC28A5" w:rsidRPr="00295AF3" w:rsidRDefault="00FC28A5" w:rsidP="00501A0E">
            <w:pP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Ed Roeber</w:t>
            </w:r>
          </w:p>
        </w:tc>
        <w:tc>
          <w:tcPr>
            <w:tcW w:w="2948"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color w:val="4472C4" w:themeColor="accent1"/>
              </w:rPr>
              <w:t>President &amp; Chief Executive Officer</w:t>
            </w:r>
          </w:p>
          <w:p w:rsidR="00FC28A5" w:rsidRPr="00295AF3" w:rsidRDefault="00FC28A5" w:rsidP="00501A0E">
            <w:pPr>
              <w:rPr>
                <w:rFonts w:asciiTheme="minorHAnsi" w:hAnsiTheme="minorHAnsi"/>
              </w:rPr>
            </w:pPr>
            <w:r w:rsidRPr="00295AF3">
              <w:rPr>
                <w:rFonts w:asciiTheme="minorHAnsi" w:hAnsiTheme="minorHAnsi" w:cstheme="minorHAnsi"/>
                <w:color w:val="4472C4" w:themeColor="accent1"/>
              </w:rPr>
              <w:t>Assessment Director</w:t>
            </w:r>
          </w:p>
        </w:tc>
        <w:tc>
          <w:tcPr>
            <w:tcW w:w="685"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noProof/>
                <w:color w:val="4472C4" w:themeColor="accent1"/>
                <w:lang w:eastAsia="en-US"/>
              </w:rPr>
              <w:drawing>
                <wp:inline distT="0" distB="0" distL="0" distR="0" wp14:anchorId="0F9C2237" wp14:editId="73D95B90">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FC28A5" w:rsidRPr="00295AF3" w:rsidTr="00501A0E">
        <w:tc>
          <w:tcPr>
            <w:tcW w:w="1367" w:type="pct"/>
            <w:vAlign w:val="center"/>
          </w:tcPr>
          <w:p w:rsidR="00FC28A5" w:rsidRPr="00295AF3" w:rsidRDefault="00FC28A5" w:rsidP="00501A0E">
            <w:pPr>
              <w:pStyle w:val="Space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Ellen Vorenkamp</w:t>
            </w:r>
          </w:p>
        </w:tc>
        <w:tc>
          <w:tcPr>
            <w:tcW w:w="2948"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color w:val="4472C4" w:themeColor="accent1"/>
              </w:rPr>
              <w:t>Assessment Consultant</w:t>
            </w:r>
          </w:p>
        </w:tc>
        <w:tc>
          <w:tcPr>
            <w:tcW w:w="685"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noProof/>
                <w:color w:val="4472C4" w:themeColor="accent1"/>
                <w:lang w:eastAsia="en-US"/>
              </w:rPr>
              <w:drawing>
                <wp:inline distT="0" distB="0" distL="0" distR="0" wp14:anchorId="749A9D5E" wp14:editId="6A941B4D">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3">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FC28A5" w:rsidRPr="00295AF3" w:rsidTr="00501A0E">
        <w:tc>
          <w:tcPr>
            <w:tcW w:w="1367" w:type="pct"/>
            <w:vAlign w:val="center"/>
          </w:tcPr>
          <w:p w:rsidR="00FC28A5" w:rsidRPr="00295AF3" w:rsidRDefault="00FC28A5" w:rsidP="00501A0E">
            <w:pPr>
              <w:pStyle w:val="Space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Steven Snead</w:t>
            </w:r>
          </w:p>
          <w:p w:rsidR="00FC28A5" w:rsidRPr="00295AF3" w:rsidRDefault="00FC28A5" w:rsidP="00501A0E">
            <w:pPr>
              <w:tabs>
                <w:tab w:val="left" w:leader="dot" w:pos="2460"/>
              </w:tabs>
              <w:rPr>
                <w:rFonts w:asciiTheme="minorHAnsi" w:hAnsiTheme="minorHAnsi" w:cstheme="minorHAnsi"/>
                <w:b/>
                <w:color w:val="4472C4" w:themeColor="accent1"/>
              </w:rPr>
            </w:pPr>
            <w:r w:rsidRPr="00295AF3">
              <w:rPr>
                <w:rFonts w:asciiTheme="minorHAnsi" w:hAnsiTheme="minorHAnsi" w:cstheme="minorHAnsi"/>
                <w:b/>
                <w:color w:val="4472C4" w:themeColor="accent1"/>
              </w:rPr>
              <w:t>Jonathan Flukes</w:t>
            </w:r>
          </w:p>
        </w:tc>
        <w:tc>
          <w:tcPr>
            <w:tcW w:w="2948"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color w:val="4472C4" w:themeColor="accent1"/>
              </w:rPr>
              <w:t>Supervisor, Curriculum &amp; Instruction Unit</w:t>
            </w:r>
          </w:p>
          <w:p w:rsidR="00FC28A5" w:rsidRPr="00295AF3" w:rsidRDefault="00FC28A5" w:rsidP="00501A0E">
            <w:pPr>
              <w:rPr>
                <w:rFonts w:asciiTheme="minorHAnsi" w:hAnsiTheme="minorHAnsi"/>
              </w:rPr>
            </w:pPr>
            <w:r w:rsidRPr="00295AF3">
              <w:rPr>
                <w:rFonts w:asciiTheme="minorHAnsi" w:hAnsiTheme="minorHAnsi" w:cstheme="minorHAnsi"/>
                <w:color w:val="4472C4" w:themeColor="accent1"/>
              </w:rPr>
              <w:t>Research, Evaluation, &amp; Assessment Consultant</w:t>
            </w:r>
          </w:p>
        </w:tc>
        <w:tc>
          <w:tcPr>
            <w:tcW w:w="685" w:type="pct"/>
            <w:vAlign w:val="center"/>
          </w:tcPr>
          <w:p w:rsidR="00FC28A5" w:rsidRPr="00295AF3" w:rsidRDefault="00FC28A5" w:rsidP="00501A0E">
            <w:pPr>
              <w:pStyle w:val="Spacer"/>
              <w:tabs>
                <w:tab w:val="left" w:leader="dot" w:pos="2460"/>
              </w:tabs>
              <w:rPr>
                <w:rFonts w:asciiTheme="minorHAnsi" w:hAnsiTheme="minorHAnsi" w:cstheme="minorHAnsi"/>
                <w:color w:val="4472C4" w:themeColor="accent1"/>
              </w:rPr>
            </w:pPr>
            <w:r w:rsidRPr="00295AF3">
              <w:rPr>
                <w:rFonts w:asciiTheme="minorHAnsi" w:hAnsiTheme="minorHAnsi" w:cstheme="minorHAnsi"/>
                <w:noProof/>
                <w:color w:val="4472C4" w:themeColor="accent1"/>
                <w:lang w:eastAsia="en-US"/>
              </w:rPr>
              <w:drawing>
                <wp:inline distT="0" distB="0" distL="0" distR="0" wp14:anchorId="4EE8586D" wp14:editId="42952650">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rsidR="00FC28A5" w:rsidRPr="00295AF3" w:rsidRDefault="00FC28A5" w:rsidP="00FC28A5"/>
    <w:p w:rsidR="00FC28A5" w:rsidRPr="007952FA" w:rsidRDefault="00FC28A5" w:rsidP="00FC28A5"/>
    <w:p w:rsidR="00FC28A5" w:rsidRDefault="00FC28A5" w:rsidP="00FC28A5"/>
    <w:p w:rsidR="00FC28A5" w:rsidRDefault="00FC28A5" w:rsidP="00FC28A5">
      <w:pPr>
        <w:sectPr w:rsidR="00FC28A5" w:rsidSect="007B6F67">
          <w:headerReference w:type="default" r:id="rId15"/>
          <w:footerReference w:type="default" r:id="rId16"/>
          <w:type w:val="continuous"/>
          <w:pgSz w:w="12240" w:h="15840"/>
          <w:pgMar w:top="1440" w:right="1440" w:bottom="1440" w:left="1440" w:header="720" w:footer="720" w:gutter="0"/>
          <w:cols w:space="720"/>
          <w:docGrid w:linePitch="360"/>
        </w:sectPr>
      </w:pPr>
    </w:p>
    <w:p w:rsidR="00FC28A5" w:rsidRDefault="00FC28A5" w:rsidP="00FC28A5"/>
    <w:tbl>
      <w:tblPr>
        <w:tblStyle w:val="TableGrid"/>
        <w:tblW w:w="9517" w:type="dxa"/>
        <w:tblBorders>
          <w:top w:val="single" w:sz="18" w:space="0" w:color="2F5496" w:themeColor="accent1" w:themeShade="BF"/>
          <w:left w:val="single" w:sz="18" w:space="0" w:color="2F5496" w:themeColor="accent1" w:themeShade="BF"/>
          <w:bottom w:val="single" w:sz="18" w:space="0" w:color="2F5496" w:themeColor="accent1" w:themeShade="BF"/>
          <w:right w:val="single" w:sz="18" w:space="0" w:color="2F5496" w:themeColor="accent1" w:themeShade="BF"/>
          <w:insideH w:val="none" w:sz="0" w:space="0" w:color="auto"/>
          <w:insideV w:val="none" w:sz="0" w:space="0" w:color="auto"/>
        </w:tblBorders>
        <w:tblCellMar>
          <w:left w:w="0" w:type="dxa"/>
          <w:right w:w="0" w:type="dxa"/>
        </w:tblCellMar>
        <w:tblLook w:val="04A0" w:firstRow="1" w:lastRow="0" w:firstColumn="1" w:lastColumn="0" w:noHBand="0" w:noVBand="1"/>
      </w:tblPr>
      <w:tblGrid>
        <w:gridCol w:w="2227"/>
        <w:gridCol w:w="7290"/>
      </w:tblGrid>
      <w:tr w:rsidR="00FC28A5" w:rsidRPr="003C2D08" w:rsidTr="00501A0E">
        <w:tc>
          <w:tcPr>
            <w:tcW w:w="2227" w:type="dxa"/>
            <w:vMerge w:val="restart"/>
            <w:tcBorders>
              <w:right w:val="single" w:sz="18" w:space="0" w:color="2F5496" w:themeColor="accent1" w:themeShade="BF"/>
            </w:tcBorders>
            <w:tcMar>
              <w:top w:w="58" w:type="dxa"/>
              <w:left w:w="58" w:type="dxa"/>
              <w:bottom w:w="58" w:type="dxa"/>
              <w:right w:w="58" w:type="dxa"/>
            </w:tcMar>
            <w:vAlign w:val="center"/>
          </w:tcPr>
          <w:p w:rsidR="00FC28A5" w:rsidRPr="003C2D08" w:rsidRDefault="00B75C2E" w:rsidP="00501A0E">
            <w:pPr>
              <w:pStyle w:val="Header"/>
              <w:rPr>
                <w:color w:val="2F5496" w:themeColor="accent1" w:themeShade="BF"/>
              </w:rPr>
            </w:pPr>
            <w:r>
              <w:rPr>
                <w:rFonts w:asciiTheme="minorHAnsi" w:hAnsiTheme="minorHAnsi"/>
                <w:b/>
                <w:noProof/>
                <w:sz w:val="40"/>
              </w:rPr>
              <w:drawing>
                <wp:inline distT="0" distB="0" distL="0" distR="0" wp14:anchorId="14827BA6" wp14:editId="6CCE3AD6">
                  <wp:extent cx="1097280" cy="1096107"/>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10">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290" w:type="dxa"/>
            <w:tcBorders>
              <w:top w:val="single" w:sz="18" w:space="0" w:color="2F5496" w:themeColor="accent1" w:themeShade="BF"/>
              <w:left w:val="single" w:sz="18" w:space="0" w:color="2F5496" w:themeColor="accent1" w:themeShade="BF"/>
              <w:bottom w:val="nil"/>
            </w:tcBorders>
            <w:tcMar>
              <w:top w:w="58" w:type="dxa"/>
              <w:left w:w="58" w:type="dxa"/>
              <w:bottom w:w="58" w:type="dxa"/>
              <w:right w:w="58" w:type="dxa"/>
            </w:tcMar>
          </w:tcPr>
          <w:p w:rsidR="00FC28A5" w:rsidRPr="00C108FC" w:rsidRDefault="00B75C2E" w:rsidP="00501A0E">
            <w:pPr>
              <w:rPr>
                <w:rFonts w:asciiTheme="majorHAnsi" w:hAnsiTheme="majorHAnsi" w:cstheme="majorHAnsi"/>
                <w:b/>
                <w:color w:val="2F5496" w:themeColor="accent1" w:themeShade="BF"/>
                <w:sz w:val="28"/>
                <w:szCs w:val="28"/>
              </w:rPr>
            </w:pPr>
            <w:r>
              <w:rPr>
                <w:rFonts w:asciiTheme="majorHAnsi" w:hAnsiTheme="majorHAnsi" w:cstheme="majorHAnsi"/>
                <w:b/>
                <w:color w:val="2F5496" w:themeColor="accent1" w:themeShade="BF"/>
                <w:sz w:val="28"/>
                <w:szCs w:val="28"/>
              </w:rPr>
              <w:t>Anytown Public Schools</w:t>
            </w:r>
          </w:p>
          <w:p w:rsidR="00FC28A5" w:rsidRPr="00C108FC" w:rsidRDefault="00FC28A5" w:rsidP="00501A0E">
            <w:pPr>
              <w:rPr>
                <w:rFonts w:asciiTheme="majorHAnsi" w:hAnsiTheme="majorHAnsi" w:cstheme="majorHAnsi"/>
                <w:b/>
                <w:color w:val="2F5496" w:themeColor="accent1" w:themeShade="BF"/>
                <w:sz w:val="28"/>
                <w:szCs w:val="50"/>
              </w:rPr>
            </w:pPr>
            <w:r>
              <w:rPr>
                <w:rFonts w:asciiTheme="majorHAnsi" w:hAnsiTheme="majorHAnsi" w:cstheme="majorHAnsi"/>
                <w:b/>
                <w:color w:val="2F5496" w:themeColor="accent1" w:themeShade="BF"/>
                <w:sz w:val="28"/>
                <w:szCs w:val="28"/>
              </w:rPr>
              <w:t xml:space="preserve">District Assessment System </w:t>
            </w:r>
            <w:r w:rsidRPr="00C108FC">
              <w:rPr>
                <w:rFonts w:asciiTheme="majorHAnsi" w:hAnsiTheme="majorHAnsi" w:cstheme="majorHAnsi"/>
                <w:b/>
                <w:color w:val="2F5496" w:themeColor="accent1" w:themeShade="BF"/>
                <w:sz w:val="28"/>
                <w:szCs w:val="28"/>
              </w:rPr>
              <w:t xml:space="preserve">Design </w:t>
            </w:r>
            <w:r>
              <w:rPr>
                <w:rFonts w:asciiTheme="majorHAnsi" w:hAnsiTheme="majorHAnsi" w:cstheme="majorHAnsi"/>
                <w:b/>
                <w:color w:val="2F5496" w:themeColor="accent1" w:themeShade="BF"/>
                <w:sz w:val="28"/>
                <w:szCs w:val="28"/>
              </w:rPr>
              <w:t>Report</w:t>
            </w:r>
          </w:p>
        </w:tc>
      </w:tr>
      <w:tr w:rsidR="00FC28A5" w:rsidRPr="003C2D08" w:rsidTr="00501A0E">
        <w:tc>
          <w:tcPr>
            <w:tcW w:w="2227" w:type="dxa"/>
            <w:vMerge/>
            <w:tcBorders>
              <w:right w:val="single" w:sz="18" w:space="0" w:color="2F5496" w:themeColor="accent1" w:themeShade="BF"/>
            </w:tcBorders>
            <w:tcMar>
              <w:top w:w="58" w:type="dxa"/>
              <w:left w:w="58" w:type="dxa"/>
              <w:bottom w:w="58" w:type="dxa"/>
              <w:right w:w="58" w:type="dxa"/>
            </w:tcMar>
          </w:tcPr>
          <w:p w:rsidR="00FC28A5" w:rsidRPr="003C2D08" w:rsidRDefault="00FC28A5" w:rsidP="00501A0E">
            <w:pPr>
              <w:pStyle w:val="Header"/>
              <w:rPr>
                <w:color w:val="2F5496" w:themeColor="accent1" w:themeShade="BF"/>
              </w:rPr>
            </w:pPr>
          </w:p>
        </w:tc>
        <w:tc>
          <w:tcPr>
            <w:tcW w:w="7290" w:type="dxa"/>
            <w:tcBorders>
              <w:top w:val="nil"/>
              <w:left w:val="single" w:sz="18" w:space="0" w:color="2F5496" w:themeColor="accent1" w:themeShade="BF"/>
              <w:bottom w:val="single" w:sz="18" w:space="0" w:color="2F5496" w:themeColor="accent1" w:themeShade="BF"/>
            </w:tcBorders>
            <w:tcMar>
              <w:top w:w="58" w:type="dxa"/>
              <w:left w:w="58" w:type="dxa"/>
              <w:bottom w:w="58" w:type="dxa"/>
              <w:right w:w="58" w:type="dxa"/>
            </w:tcMar>
          </w:tcPr>
          <w:p w:rsidR="00FC28A5" w:rsidRPr="00C108FC" w:rsidRDefault="00FC28A5" w:rsidP="00501A0E">
            <w:pPr>
              <w:rPr>
                <w:rFonts w:asciiTheme="majorHAnsi" w:hAnsiTheme="majorHAnsi"/>
                <w:color w:val="2F5496" w:themeColor="accent1" w:themeShade="BF"/>
                <w:sz w:val="20"/>
                <w:szCs w:val="20"/>
                <w:highlight w:val="yellow"/>
              </w:rPr>
            </w:pPr>
          </w:p>
          <w:p w:rsidR="00FC28A5" w:rsidRPr="00B75C2E" w:rsidRDefault="00B75C2E" w:rsidP="00501A0E">
            <w:pPr>
              <w:rPr>
                <w:rFonts w:asciiTheme="majorHAnsi" w:hAnsiTheme="majorHAnsi"/>
                <w:color w:val="2F5496" w:themeColor="accent1" w:themeShade="BF"/>
                <w:sz w:val="20"/>
                <w:szCs w:val="20"/>
              </w:rPr>
            </w:pPr>
            <w:r w:rsidRPr="00B75C2E">
              <w:rPr>
                <w:rFonts w:asciiTheme="majorHAnsi" w:hAnsiTheme="majorHAnsi"/>
                <w:color w:val="2F5496" w:themeColor="accent1" w:themeShade="BF"/>
                <w:sz w:val="20"/>
                <w:szCs w:val="20"/>
              </w:rPr>
              <w:t>Anna Principal</w:t>
            </w:r>
          </w:p>
          <w:p w:rsidR="00FC28A5" w:rsidRPr="00B75C2E" w:rsidRDefault="00B75C2E" w:rsidP="00501A0E">
            <w:pPr>
              <w:rPr>
                <w:rFonts w:asciiTheme="majorHAnsi" w:hAnsiTheme="majorHAnsi"/>
                <w:color w:val="2F5496" w:themeColor="accent1" w:themeShade="BF"/>
                <w:sz w:val="20"/>
                <w:szCs w:val="20"/>
              </w:rPr>
            </w:pPr>
            <w:r w:rsidRPr="00B75C2E">
              <w:rPr>
                <w:rFonts w:asciiTheme="majorHAnsi" w:hAnsiTheme="majorHAnsi"/>
                <w:color w:val="2F5496" w:themeColor="accent1" w:themeShade="BF"/>
                <w:sz w:val="20"/>
                <w:szCs w:val="20"/>
              </w:rPr>
              <w:t>Independent Consultant</w:t>
            </w:r>
          </w:p>
          <w:p w:rsidR="00FC28A5" w:rsidRDefault="00FC28A5" w:rsidP="00501A0E">
            <w:pPr>
              <w:rPr>
                <w:rFonts w:asciiTheme="majorHAnsi" w:hAnsiTheme="majorHAnsi"/>
                <w:color w:val="2F5496" w:themeColor="accent1" w:themeShade="BF"/>
                <w:sz w:val="20"/>
                <w:szCs w:val="20"/>
              </w:rPr>
            </w:pPr>
          </w:p>
          <w:p w:rsidR="00FC28A5" w:rsidRPr="00AC1905" w:rsidRDefault="00B75C2E" w:rsidP="00501A0E">
            <w:pPr>
              <w:rPr>
                <w:rFonts w:asciiTheme="minorHAnsi" w:hAnsiTheme="minorHAnsi"/>
                <w:color w:val="2F5496" w:themeColor="accent1" w:themeShade="BF"/>
                <w:sz w:val="28"/>
                <w:szCs w:val="50"/>
              </w:rPr>
            </w:pPr>
            <w:r>
              <w:rPr>
                <w:rFonts w:asciiTheme="majorHAnsi" w:hAnsiTheme="majorHAnsi"/>
                <w:color w:val="2F5496" w:themeColor="accent1" w:themeShade="BF"/>
                <w:sz w:val="20"/>
                <w:szCs w:val="20"/>
              </w:rPr>
              <w:t>June 29, 2018</w:t>
            </w:r>
          </w:p>
        </w:tc>
      </w:tr>
    </w:tbl>
    <w:p w:rsidR="00FC28A5" w:rsidRDefault="00FC28A5" w:rsidP="00FC28A5"/>
    <w:p w:rsidR="00FC28A5" w:rsidRDefault="00FC28A5" w:rsidP="00FC28A5"/>
    <w:p w:rsidR="00FC28A5" w:rsidRPr="00FC28A5" w:rsidRDefault="00FC28A5" w:rsidP="00FC28A5">
      <w:pPr>
        <w:pStyle w:val="Heading1"/>
      </w:pPr>
      <w:r w:rsidRPr="00FC28A5">
        <w:t>Executive Summary</w:t>
      </w:r>
    </w:p>
    <w:p w:rsidR="00FC28A5" w:rsidRPr="008C4CA6" w:rsidRDefault="00FC28A5" w:rsidP="00FC28A5">
      <w:pPr>
        <w:rPr>
          <w:rFonts w:eastAsia="Times New Roman" w:cs="Calibri"/>
        </w:rPr>
      </w:pPr>
    </w:p>
    <w:p w:rsidR="00FC28A5" w:rsidRDefault="00B75C2E" w:rsidP="00FC28A5">
      <w:pPr>
        <w:rPr>
          <w:rFonts w:eastAsia="Times New Roman" w:cs="Calibri"/>
        </w:rPr>
      </w:pPr>
      <w:r>
        <w:rPr>
          <w:rFonts w:eastAsia="Times New Roman" w:cs="Calibri"/>
        </w:rPr>
        <w:t>Anytown Public Schools</w:t>
      </w:r>
      <w:r w:rsidR="00FC28A5">
        <w:rPr>
          <w:rFonts w:eastAsia="Times New Roman" w:cs="Calibri"/>
        </w:rPr>
        <w:t xml:space="preserve"> m</w:t>
      </w:r>
      <w:r w:rsidR="00FC28A5" w:rsidRPr="00CC683A">
        <w:rPr>
          <w:rFonts w:eastAsia="Times New Roman" w:cs="Calibri"/>
        </w:rPr>
        <w:t xml:space="preserve">ade a decision to </w:t>
      </w:r>
      <w:r w:rsidR="00FC28A5">
        <w:rPr>
          <w:rFonts w:eastAsia="Times New Roman" w:cs="Calibri"/>
        </w:rPr>
        <w:t>invest</w:t>
      </w:r>
      <w:r w:rsidR="00FC28A5" w:rsidRPr="00CC683A">
        <w:rPr>
          <w:rFonts w:eastAsia="Times New Roman" w:cs="Calibri"/>
        </w:rPr>
        <w:t xml:space="preserve"> </w:t>
      </w:r>
      <w:r w:rsidR="00FC28A5">
        <w:rPr>
          <w:rFonts w:eastAsia="Times New Roman" w:cs="Calibri"/>
        </w:rPr>
        <w:t>in</w:t>
      </w:r>
      <w:r w:rsidR="00FC28A5" w:rsidRPr="00CC683A">
        <w:rPr>
          <w:rFonts w:eastAsia="Times New Roman" w:cs="Calibri"/>
        </w:rPr>
        <w:t xml:space="preserve"> examining its</w:t>
      </w:r>
      <w:r w:rsidR="00FC28A5" w:rsidRPr="00F10C72">
        <w:rPr>
          <w:rFonts w:eastAsia="Times New Roman" w:cs="Calibri"/>
        </w:rPr>
        <w:t xml:space="preserve"> </w:t>
      </w:r>
      <w:r w:rsidR="00FC28A5">
        <w:rPr>
          <w:rFonts w:eastAsia="Times New Roman" w:cs="Calibri"/>
        </w:rPr>
        <w:t>existing</w:t>
      </w:r>
      <w:r w:rsidR="00FC28A5" w:rsidRPr="00F10C72">
        <w:rPr>
          <w:rFonts w:eastAsia="Times New Roman" w:cs="Calibri"/>
        </w:rPr>
        <w:t xml:space="preserve"> assessment system and designing a revised system</w:t>
      </w:r>
      <w:r w:rsidR="00FC28A5">
        <w:rPr>
          <w:rFonts w:eastAsia="Times New Roman" w:cs="Calibri"/>
        </w:rPr>
        <w:t xml:space="preserve">. The district did so by selecting a team of district administrators, school administrators, and classroom teachers from all levels of schools in the district </w:t>
      </w:r>
      <w:r>
        <w:rPr>
          <w:rFonts w:eastAsia="Times New Roman" w:cs="Calibri"/>
        </w:rPr>
        <w:t>(elementary, middle, and high school</w:t>
      </w:r>
      <w:r w:rsidR="00FC28A5">
        <w:rPr>
          <w:rFonts w:eastAsia="Times New Roman" w:cs="Calibri"/>
        </w:rPr>
        <w:t xml:space="preserve">) to engage in a principled process carried out in </w:t>
      </w:r>
      <w:r>
        <w:rPr>
          <w:rFonts w:eastAsia="Times New Roman" w:cs="Calibri"/>
        </w:rPr>
        <w:t>three</w:t>
      </w:r>
      <w:r w:rsidR="00FC28A5">
        <w:rPr>
          <w:rFonts w:eastAsia="Times New Roman" w:cs="Calibri"/>
        </w:rPr>
        <w:t xml:space="preserve"> workshops of </w:t>
      </w:r>
      <w:r>
        <w:rPr>
          <w:rFonts w:eastAsia="Times New Roman" w:cs="Calibri"/>
        </w:rPr>
        <w:t>six</w:t>
      </w:r>
      <w:r w:rsidR="00FC28A5">
        <w:rPr>
          <w:rFonts w:eastAsia="Times New Roman" w:cs="Calibri"/>
        </w:rPr>
        <w:t xml:space="preserve"> hours each. The workshops were conducted at </w:t>
      </w:r>
      <w:r>
        <w:rPr>
          <w:rFonts w:eastAsia="Times New Roman" w:cs="Calibri"/>
        </w:rPr>
        <w:t>the Anytown Regional Service Agency</w:t>
      </w:r>
      <w:r w:rsidR="00FC28A5">
        <w:rPr>
          <w:rFonts w:eastAsia="Times New Roman" w:cs="Calibri"/>
        </w:rPr>
        <w:t xml:space="preserve"> on </w:t>
      </w:r>
      <w:r>
        <w:rPr>
          <w:rFonts w:eastAsia="Times New Roman" w:cs="Calibri"/>
        </w:rPr>
        <w:t>three dates in January of 2018.</w:t>
      </w:r>
    </w:p>
    <w:p w:rsidR="00FC28A5" w:rsidRDefault="00FC28A5" w:rsidP="00FC28A5">
      <w:pPr>
        <w:rPr>
          <w:rFonts w:eastAsia="Times New Roman" w:cs="Calibri"/>
        </w:rPr>
      </w:pPr>
    </w:p>
    <w:p w:rsidR="00FC28A5" w:rsidRDefault="00FC28A5" w:rsidP="00FC28A5">
      <w:pPr>
        <w:pStyle w:val="Heading2"/>
      </w:pPr>
      <w:r w:rsidRPr="00FC28A5">
        <w:t>Why the Work is Important</w:t>
      </w:r>
    </w:p>
    <w:p w:rsidR="00FC28A5" w:rsidRPr="00FC28A5" w:rsidRDefault="00FC28A5" w:rsidP="00FC28A5"/>
    <w:p w:rsidR="00FC28A5" w:rsidRDefault="00FC28A5" w:rsidP="00FC28A5">
      <w:pPr>
        <w:rPr>
          <w:rFonts w:eastAsia="Times New Roman" w:cs="Calibri"/>
        </w:rPr>
      </w:pPr>
      <w:r>
        <w:rPr>
          <w:rFonts w:eastAsia="Times New Roman" w:cs="Calibri"/>
        </w:rPr>
        <w:t>Assessment is a key component of education, supporting instruction, instructional programming, program and policy evaluation, placement, eligibility for programs, grading, and eligibility for honors or awards. However, it is rare that there is a carefully constructed system that is able to provide each stakeholder in a district the information they need in which each type of assessment complements the other and sends a clear and consistent signal about the kinds of knowledge and skill the district values. Because there are so many stakeholders that need information about student learning for different purposes, and any given assessment is only good for a small set of purposes, a district assessment system can easily become out of balance and even bloated.</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 xml:space="preserve">The work the </w:t>
      </w:r>
      <w:r w:rsidR="00B75C2E">
        <w:rPr>
          <w:rFonts w:eastAsia="Times New Roman" w:cs="Calibri"/>
        </w:rPr>
        <w:t>Anytown Public Schools team</w:t>
      </w:r>
      <w:r>
        <w:rPr>
          <w:rFonts w:eastAsia="Times New Roman" w:cs="Calibri"/>
        </w:rPr>
        <w:t xml:space="preserve"> did through this principled process addressed many challenges that can make a district assessment system feel incoherent and like an obstacle rather than a tool to improve learning and instruction.</w:t>
      </w:r>
    </w:p>
    <w:p w:rsidR="00FC28A5" w:rsidRDefault="00FC28A5" w:rsidP="00FC28A5">
      <w:pPr>
        <w:rPr>
          <w:rFonts w:eastAsia="Times New Roman" w:cs="Calibri"/>
        </w:rPr>
      </w:pPr>
    </w:p>
    <w:p w:rsidR="00FC28A5" w:rsidRDefault="00FC28A5" w:rsidP="00FC28A5">
      <w:pPr>
        <w:pStyle w:val="Heading2"/>
      </w:pPr>
      <w:r w:rsidRPr="009A4420">
        <w:t>The Principled Process</w:t>
      </w:r>
      <w:r>
        <w:t xml:space="preserve"> and the Challenges It Addressed</w:t>
      </w:r>
    </w:p>
    <w:p w:rsidR="00FC28A5" w:rsidRPr="00FC28A5" w:rsidRDefault="00FC28A5" w:rsidP="00FC28A5"/>
    <w:p w:rsidR="00FC28A5" w:rsidRDefault="00FC28A5" w:rsidP="00FC28A5">
      <w:pPr>
        <w:rPr>
          <w:rFonts w:eastAsia="Times New Roman" w:cs="Calibri"/>
        </w:rPr>
      </w:pPr>
      <w:r>
        <w:rPr>
          <w:rFonts w:eastAsia="Times New Roman" w:cs="Calibri"/>
        </w:rPr>
        <w:t>The three workshops were conducted using the District Assessment System Design Toolkit</w:t>
      </w:r>
      <w:r>
        <w:rPr>
          <w:rStyle w:val="FootnoteReference"/>
          <w:rFonts w:eastAsia="Times New Roman" w:cs="Calibri"/>
        </w:rPr>
        <w:footnoteReference w:id="1"/>
      </w:r>
      <w:r>
        <w:rPr>
          <w:rFonts w:eastAsia="Times New Roman" w:cs="Calibri"/>
        </w:rPr>
        <w:t>, which was developed to address several challenges to developing and maintaining a district assessment system that serves students, their educators, and district policymakers with the appropriate balance. The specific challenges addressed by the toolkit are presented in the table below.</w:t>
      </w:r>
    </w:p>
    <w:p w:rsidR="00FC28A5" w:rsidRDefault="00FC28A5" w:rsidP="00FC28A5">
      <w:pPr>
        <w:rPr>
          <w:rFonts w:eastAsia="Times New Roman" w:cs="Calibri"/>
        </w:rPr>
      </w:pPr>
    </w:p>
    <w:p w:rsidR="00FC28A5" w:rsidRPr="00883FD0" w:rsidRDefault="00FC28A5" w:rsidP="00FC28A5">
      <w:pPr>
        <w:rPr>
          <w:rFonts w:asciiTheme="minorHAnsi" w:eastAsia="Times New Roman" w:hAnsiTheme="minorHAnsi" w:cstheme="minorHAnsi"/>
          <w:b/>
          <w:sz w:val="20"/>
          <w:szCs w:val="20"/>
        </w:rPr>
      </w:pPr>
      <w:r w:rsidRPr="00883FD0">
        <w:rPr>
          <w:rFonts w:asciiTheme="minorHAnsi" w:eastAsia="Times New Roman" w:hAnsiTheme="minorHAnsi" w:cstheme="minorHAnsi"/>
          <w:b/>
          <w:color w:val="2F5496" w:themeColor="accent1" w:themeShade="BF"/>
          <w:sz w:val="20"/>
          <w:szCs w:val="20"/>
        </w:rPr>
        <w:t xml:space="preserve">Table 1. </w:t>
      </w:r>
      <w:r w:rsidRPr="00883FD0">
        <w:rPr>
          <w:rFonts w:asciiTheme="minorHAnsi" w:eastAsia="Times New Roman" w:hAnsiTheme="minorHAnsi" w:cstheme="minorHAnsi"/>
          <w:b/>
          <w:i/>
          <w:color w:val="2F5496" w:themeColor="accent1" w:themeShade="BF"/>
          <w:sz w:val="20"/>
          <w:szCs w:val="20"/>
        </w:rPr>
        <w:t>Challenges Addressed in the Principled</w:t>
      </w:r>
      <w:r>
        <w:rPr>
          <w:rFonts w:asciiTheme="minorHAnsi" w:eastAsia="Times New Roman" w:hAnsiTheme="minorHAnsi" w:cstheme="minorHAnsi"/>
          <w:b/>
          <w:i/>
          <w:color w:val="2F5496" w:themeColor="accent1" w:themeShade="BF"/>
          <w:sz w:val="20"/>
          <w:szCs w:val="20"/>
        </w:rPr>
        <w:t xml:space="preserve"> Design</w:t>
      </w:r>
      <w:r w:rsidRPr="00883FD0">
        <w:rPr>
          <w:rFonts w:asciiTheme="minorHAnsi" w:eastAsia="Times New Roman" w:hAnsiTheme="minorHAnsi" w:cstheme="minorHAnsi"/>
          <w:b/>
          <w:i/>
          <w:color w:val="2F5496" w:themeColor="accent1" w:themeShade="BF"/>
          <w:sz w:val="20"/>
          <w:szCs w:val="20"/>
        </w:rPr>
        <w:t xml:space="preserve"> Process</w:t>
      </w:r>
      <w:r w:rsidRPr="00883FD0">
        <w:rPr>
          <w:rFonts w:asciiTheme="minorHAnsi" w:eastAsia="Times New Roman" w:hAnsiTheme="minorHAnsi" w:cstheme="minorHAnsi"/>
          <w:b/>
          <w:color w:val="2F5496" w:themeColor="accent1" w:themeShade="BF"/>
          <w:sz w:val="20"/>
          <w:szCs w:val="20"/>
        </w:rPr>
        <w:t>.</w:t>
      </w:r>
    </w:p>
    <w:tbl>
      <w:tblPr>
        <w:tblW w:w="0" w:type="auto"/>
        <w:tblBorders>
          <w:top w:val="single" w:sz="12" w:space="0" w:color="4472C4" w:themeColor="accent1"/>
          <w:left w:val="single" w:sz="12" w:space="0" w:color="4472C4" w:themeColor="accent1"/>
          <w:bottom w:val="single" w:sz="12" w:space="0" w:color="4472C4" w:themeColor="accent1"/>
          <w:right w:val="single" w:sz="12" w:space="0" w:color="4472C4" w:themeColor="accent1"/>
        </w:tblBorders>
        <w:tblCellMar>
          <w:left w:w="58" w:type="dxa"/>
          <w:right w:w="58" w:type="dxa"/>
        </w:tblCellMar>
        <w:tblLook w:val="04A0" w:firstRow="1" w:lastRow="0" w:firstColumn="1" w:lastColumn="0" w:noHBand="0" w:noVBand="1"/>
      </w:tblPr>
      <w:tblGrid>
        <w:gridCol w:w="1785"/>
        <w:gridCol w:w="7545"/>
      </w:tblGrid>
      <w:tr w:rsidR="00FC28A5" w:rsidRPr="00790DD7" w:rsidTr="00501A0E">
        <w:trPr>
          <w:tblHeader/>
        </w:trPr>
        <w:tc>
          <w:tcPr>
            <w:tcW w:w="1785" w:type="dxa"/>
            <w:tcBorders>
              <w:top w:val="single" w:sz="12" w:space="0" w:color="4472C4" w:themeColor="accent1"/>
              <w:bottom w:val="single" w:sz="12" w:space="0" w:color="4472C4" w:themeColor="accent1"/>
              <w:right w:val="single" w:sz="6" w:space="0" w:color="8EAADB" w:themeColor="accent1" w:themeTint="99"/>
            </w:tcBorders>
            <w:shd w:val="clear" w:color="auto" w:fill="D9E2F3" w:themeFill="accent1" w:themeFillTint="33"/>
            <w:noWrap/>
            <w:hideMark/>
          </w:tcPr>
          <w:p w:rsidR="00FC28A5" w:rsidRPr="00790DD7" w:rsidRDefault="00FC28A5" w:rsidP="00501A0E">
            <w:pPr>
              <w:rPr>
                <w:rFonts w:asciiTheme="majorHAnsi" w:eastAsia="Times New Roman" w:hAnsiTheme="majorHAnsi" w:cstheme="majorHAnsi"/>
                <w:b/>
                <w:bCs/>
                <w:color w:val="2F5496" w:themeColor="accent1" w:themeShade="BF"/>
                <w:sz w:val="20"/>
                <w:szCs w:val="20"/>
              </w:rPr>
            </w:pPr>
            <w:r w:rsidRPr="00790DD7">
              <w:rPr>
                <w:rFonts w:asciiTheme="majorHAnsi" w:eastAsia="Times New Roman" w:hAnsiTheme="majorHAnsi" w:cstheme="majorHAnsi"/>
                <w:b/>
                <w:bCs/>
                <w:color w:val="2F5496" w:themeColor="accent1" w:themeShade="BF"/>
                <w:sz w:val="20"/>
                <w:szCs w:val="20"/>
              </w:rPr>
              <w:lastRenderedPageBreak/>
              <w:t>Challenge</w:t>
            </w:r>
          </w:p>
        </w:tc>
        <w:tc>
          <w:tcPr>
            <w:tcW w:w="7545" w:type="dxa"/>
            <w:tcBorders>
              <w:top w:val="single" w:sz="12" w:space="0" w:color="4472C4" w:themeColor="accent1"/>
              <w:left w:val="single" w:sz="6" w:space="0" w:color="8EAADB" w:themeColor="accent1" w:themeTint="99"/>
              <w:bottom w:val="single" w:sz="12" w:space="0" w:color="4472C4" w:themeColor="accent1"/>
              <w:right w:val="single" w:sz="12" w:space="0" w:color="4472C4" w:themeColor="accent1"/>
            </w:tcBorders>
            <w:shd w:val="clear" w:color="auto" w:fill="D9E2F3" w:themeFill="accent1" w:themeFillTint="33"/>
            <w:noWrap/>
            <w:hideMark/>
          </w:tcPr>
          <w:p w:rsidR="00FC28A5" w:rsidRPr="00790DD7" w:rsidRDefault="00FC28A5" w:rsidP="00501A0E">
            <w:pPr>
              <w:rPr>
                <w:rFonts w:asciiTheme="majorHAnsi" w:eastAsia="Times New Roman" w:hAnsiTheme="majorHAnsi" w:cstheme="majorHAnsi"/>
                <w:b/>
                <w:bCs/>
                <w:color w:val="2F5496" w:themeColor="accent1" w:themeShade="BF"/>
                <w:sz w:val="20"/>
                <w:szCs w:val="20"/>
              </w:rPr>
            </w:pPr>
            <w:r w:rsidRPr="00790DD7">
              <w:rPr>
                <w:rFonts w:asciiTheme="majorHAnsi" w:eastAsia="Times New Roman" w:hAnsiTheme="majorHAnsi" w:cstheme="majorHAnsi"/>
                <w:b/>
                <w:bCs/>
                <w:color w:val="2F5496" w:themeColor="accent1" w:themeShade="BF"/>
                <w:sz w:val="20"/>
                <w:szCs w:val="20"/>
              </w:rPr>
              <w:t>Associated Need</w:t>
            </w:r>
          </w:p>
        </w:tc>
      </w:tr>
      <w:tr w:rsidR="00FC28A5" w:rsidRPr="00790DD7" w:rsidTr="00501A0E">
        <w:tc>
          <w:tcPr>
            <w:tcW w:w="1785" w:type="dxa"/>
            <w:tcBorders>
              <w:top w:val="single" w:sz="12" w:space="0" w:color="4472C4" w:themeColor="accent1"/>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Assessment Literacy</w:t>
            </w:r>
          </w:p>
        </w:tc>
        <w:tc>
          <w:tcPr>
            <w:tcW w:w="7545" w:type="dxa"/>
            <w:tcBorders>
              <w:top w:val="single" w:sz="12" w:space="0" w:color="4472C4" w:themeColor="accent1"/>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Shared vocabulary/understanding of types, characteristics, and purposes of assessment.</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Appropriate Use</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Shared understanding of what assessment types/characteristics match intended purposes</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Parsimony</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A system that minimizes duplication (and thus time devoted to formal test taking)</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Coherence</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All components form a coherent whole to create a balanced picture of student learning</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Power Sharing</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A system in which educators share power and collaborate across all levels in the district</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w:t>
            </w:r>
            <w:proofErr w:type="spellStart"/>
            <w:r w:rsidRPr="00790DD7">
              <w:rPr>
                <w:rFonts w:asciiTheme="majorHAnsi" w:eastAsia="Times New Roman" w:hAnsiTheme="majorHAnsi" w:cstheme="majorHAnsi"/>
                <w:color w:val="4472C4" w:themeColor="accent1"/>
                <w:sz w:val="20"/>
                <w:szCs w:val="20"/>
              </w:rPr>
              <w:t>Systemness</w:t>
            </w:r>
            <w:proofErr w:type="spellEnd"/>
            <w:r w:rsidRPr="00790DD7">
              <w:rPr>
                <w:rFonts w:asciiTheme="majorHAnsi" w:eastAsia="Times New Roman" w:hAnsiTheme="majorHAnsi" w:cstheme="majorHAnsi"/>
                <w:color w:val="4472C4" w:themeColor="accent1"/>
                <w:sz w:val="20"/>
                <w:szCs w:val="20"/>
              </w:rPr>
              <w:t>”</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 xml:space="preserve">An approach to developing an </w:t>
            </w:r>
            <w:r w:rsidRPr="00790DD7">
              <w:rPr>
                <w:rFonts w:asciiTheme="majorHAnsi" w:eastAsia="Times New Roman" w:hAnsiTheme="majorHAnsi" w:cstheme="majorHAnsi"/>
                <w:i/>
                <w:color w:val="4472C4" w:themeColor="accent1"/>
                <w:sz w:val="20"/>
                <w:szCs w:val="20"/>
              </w:rPr>
              <w:t>assessment system</w:t>
            </w:r>
            <w:r w:rsidRPr="00790DD7">
              <w:rPr>
                <w:rFonts w:asciiTheme="majorHAnsi" w:eastAsia="Times New Roman" w:hAnsiTheme="majorHAnsi" w:cstheme="majorHAnsi"/>
                <w:color w:val="4472C4" w:themeColor="accent1"/>
                <w:sz w:val="20"/>
                <w:szCs w:val="20"/>
              </w:rPr>
              <w:t xml:space="preserve"> rather than a </w:t>
            </w:r>
            <w:r w:rsidRPr="00790DD7">
              <w:rPr>
                <w:rFonts w:asciiTheme="majorHAnsi" w:eastAsia="Times New Roman" w:hAnsiTheme="majorHAnsi" w:cstheme="majorHAnsi"/>
                <w:i/>
                <w:color w:val="4472C4" w:themeColor="accent1"/>
                <w:sz w:val="20"/>
                <w:szCs w:val="20"/>
              </w:rPr>
              <w:t>collection of assessments</w:t>
            </w:r>
          </w:p>
        </w:tc>
      </w:tr>
      <w:tr w:rsidR="00FC28A5" w:rsidRPr="00790DD7" w:rsidTr="00501A0E">
        <w:tc>
          <w:tcPr>
            <w:tcW w:w="1785" w:type="dxa"/>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Pr>
                <w:rFonts w:asciiTheme="majorHAnsi" w:eastAsia="Times New Roman" w:hAnsiTheme="majorHAnsi" w:cstheme="majorHAnsi"/>
                <w:color w:val="4472C4" w:themeColor="accent1"/>
                <w:sz w:val="20"/>
                <w:szCs w:val="20"/>
              </w:rPr>
              <w:t>Implementation</w:t>
            </w:r>
          </w:p>
        </w:tc>
        <w:tc>
          <w:tcPr>
            <w:tcW w:w="7545" w:type="dxa"/>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Pr>
                <w:rFonts w:asciiTheme="majorHAnsi" w:eastAsia="Times New Roman" w:hAnsiTheme="majorHAnsi" w:cstheme="majorHAnsi"/>
                <w:color w:val="4472C4" w:themeColor="accent1"/>
                <w:sz w:val="20"/>
                <w:szCs w:val="20"/>
              </w:rPr>
              <w:t>A plan for implementation that attends to potential hurdles</w:t>
            </w:r>
          </w:p>
        </w:tc>
      </w:tr>
      <w:tr w:rsidR="00FC28A5" w:rsidRPr="00790DD7" w:rsidTr="00501A0E">
        <w:tc>
          <w:tcPr>
            <w:tcW w:w="1785" w:type="dxa"/>
            <w:tcBorders>
              <w:top w:val="single" w:sz="6" w:space="0" w:color="B4C6E7" w:themeColor="accent1" w:themeTint="66"/>
              <w:left w:val="single" w:sz="12" w:space="0" w:color="4472C4" w:themeColor="accent1"/>
              <w:bottom w:val="single" w:sz="12" w:space="0" w:color="4472C4" w:themeColor="accent1"/>
              <w:right w:val="single" w:sz="6" w:space="0" w:color="D9E2F3" w:themeColor="accent1" w:themeTint="33"/>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Maintenance</w:t>
            </w:r>
          </w:p>
        </w:tc>
        <w:tc>
          <w:tcPr>
            <w:tcW w:w="7545" w:type="dxa"/>
            <w:tcBorders>
              <w:top w:val="single" w:sz="6" w:space="0" w:color="B4C6E7" w:themeColor="accent1" w:themeTint="66"/>
              <w:left w:val="single" w:sz="6" w:space="0" w:color="D9E2F3" w:themeColor="accent1" w:themeTint="33"/>
              <w:bottom w:val="single" w:sz="12" w:space="0" w:color="4472C4" w:themeColor="accent1"/>
              <w:right w:val="single" w:sz="12" w:space="0" w:color="4472C4" w:themeColor="accent1"/>
            </w:tcBorders>
            <w:shd w:val="clear" w:color="auto" w:fill="auto"/>
          </w:tcPr>
          <w:p w:rsidR="00FC28A5" w:rsidRPr="00790DD7" w:rsidRDefault="00FC28A5" w:rsidP="00501A0E">
            <w:pPr>
              <w:rPr>
                <w:rFonts w:asciiTheme="majorHAnsi" w:eastAsia="Times New Roman" w:hAnsiTheme="majorHAnsi" w:cstheme="majorHAnsi"/>
                <w:color w:val="4472C4" w:themeColor="accent1"/>
                <w:sz w:val="20"/>
                <w:szCs w:val="20"/>
              </w:rPr>
            </w:pPr>
            <w:r w:rsidRPr="00790DD7">
              <w:rPr>
                <w:rFonts w:asciiTheme="majorHAnsi" w:eastAsia="Times New Roman" w:hAnsiTheme="majorHAnsi" w:cstheme="majorHAnsi"/>
                <w:color w:val="4472C4" w:themeColor="accent1"/>
                <w:sz w:val="20"/>
                <w:szCs w:val="20"/>
              </w:rPr>
              <w:t xml:space="preserve">A plan for thoughtful revisions so that the </w:t>
            </w:r>
            <w:r w:rsidRPr="00790DD7">
              <w:rPr>
                <w:rFonts w:asciiTheme="majorHAnsi" w:eastAsia="Times New Roman" w:hAnsiTheme="majorHAnsi" w:cstheme="majorHAnsi"/>
                <w:b/>
                <w:color w:val="4472C4" w:themeColor="accent1"/>
                <w:sz w:val="20"/>
                <w:szCs w:val="20"/>
              </w:rPr>
              <w:t>system</w:t>
            </w:r>
            <w:r w:rsidRPr="00790DD7">
              <w:rPr>
                <w:rFonts w:asciiTheme="majorHAnsi" w:eastAsia="Times New Roman" w:hAnsiTheme="majorHAnsi" w:cstheme="majorHAnsi"/>
                <w:color w:val="4472C4" w:themeColor="accent1"/>
                <w:sz w:val="20"/>
                <w:szCs w:val="20"/>
              </w:rPr>
              <w:t xml:space="preserve"> remains a </w:t>
            </w:r>
            <w:r w:rsidRPr="00790DD7">
              <w:rPr>
                <w:rFonts w:asciiTheme="majorHAnsi" w:eastAsia="Times New Roman" w:hAnsiTheme="majorHAnsi" w:cstheme="majorHAnsi"/>
                <w:b/>
                <w:color w:val="4472C4" w:themeColor="accent1"/>
                <w:sz w:val="20"/>
                <w:szCs w:val="20"/>
              </w:rPr>
              <w:t>system</w:t>
            </w:r>
            <w:r w:rsidRPr="00790DD7">
              <w:rPr>
                <w:rFonts w:asciiTheme="majorHAnsi" w:eastAsia="Times New Roman" w:hAnsiTheme="majorHAnsi" w:cstheme="majorHAnsi"/>
                <w:color w:val="4472C4" w:themeColor="accent1"/>
                <w:sz w:val="20"/>
                <w:szCs w:val="20"/>
              </w:rPr>
              <w:t>.</w:t>
            </w:r>
          </w:p>
        </w:tc>
      </w:tr>
    </w:tbl>
    <w:p w:rsidR="00FC28A5" w:rsidRPr="00F10C72" w:rsidRDefault="00FC28A5" w:rsidP="00FC28A5">
      <w:pPr>
        <w:rPr>
          <w:rFonts w:eastAsia="Times New Roman" w:cs="Calibri"/>
        </w:rPr>
      </w:pPr>
    </w:p>
    <w:p w:rsidR="00FC28A5" w:rsidRDefault="00FC28A5" w:rsidP="00FC28A5">
      <w:pPr>
        <w:pStyle w:val="Heading2"/>
      </w:pPr>
      <w:r w:rsidRPr="009A4420">
        <w:t>The District Assessment System Design Team</w:t>
      </w:r>
    </w:p>
    <w:p w:rsidR="00FC28A5" w:rsidRPr="00FC28A5" w:rsidRDefault="00FC28A5" w:rsidP="00FC28A5"/>
    <w:p w:rsidR="00FC28A5" w:rsidRDefault="00FC28A5" w:rsidP="00FC28A5">
      <w:pPr>
        <w:rPr>
          <w:rFonts w:eastAsia="Times New Roman" w:cs="Calibri"/>
        </w:rPr>
      </w:pPr>
      <w:r>
        <w:rPr>
          <w:rFonts w:eastAsia="Times New Roman" w:cs="Calibri"/>
        </w:rPr>
        <w:t xml:space="preserve">The district selected a team of </w:t>
      </w:r>
      <w:r w:rsidR="00B75C2E">
        <w:rPr>
          <w:rFonts w:eastAsia="Times New Roman" w:cs="Calibri"/>
        </w:rPr>
        <w:t>25</w:t>
      </w:r>
      <w:r>
        <w:rPr>
          <w:rFonts w:eastAsia="Times New Roman" w:cs="Calibri"/>
        </w:rPr>
        <w:t xml:space="preserve"> members to participate in the process, with broad representation of </w:t>
      </w:r>
      <w:r w:rsidR="00B75C2E">
        <w:rPr>
          <w:rFonts w:eastAsia="Times New Roman" w:cs="Calibri"/>
        </w:rPr>
        <w:t>many roles in the district</w:t>
      </w:r>
      <w:r>
        <w:rPr>
          <w:rFonts w:eastAsia="Times New Roman" w:cs="Calibri"/>
        </w:rPr>
        <w:t>, as follows:</w:t>
      </w:r>
    </w:p>
    <w:p w:rsidR="00FC28A5" w:rsidRDefault="00FC28A5" w:rsidP="00FC28A5">
      <w:pPr>
        <w:rPr>
          <w:rFonts w:eastAsia="Times New Roman" w:cs="Calibri"/>
        </w:rPr>
      </w:pPr>
    </w:p>
    <w:p w:rsidR="00FC28A5" w:rsidRDefault="00B75C2E" w:rsidP="00FC28A5">
      <w:pPr>
        <w:pStyle w:val="ListParagraph"/>
        <w:numPr>
          <w:ilvl w:val="0"/>
          <w:numId w:val="25"/>
        </w:numPr>
        <w:rPr>
          <w:rFonts w:eastAsia="Times New Roman" w:cs="Calibri"/>
        </w:rPr>
      </w:pPr>
      <w:r>
        <w:rPr>
          <w:rFonts w:eastAsia="Times New Roman" w:cs="Calibri"/>
        </w:rPr>
        <w:t>4</w:t>
      </w:r>
      <w:r w:rsidR="00FC28A5" w:rsidRPr="00753424">
        <w:rPr>
          <w:rFonts w:eastAsia="Times New Roman" w:cs="Calibri"/>
        </w:rPr>
        <w:t xml:space="preserve"> participants fr</w:t>
      </w:r>
      <w:r w:rsidR="00FC28A5">
        <w:rPr>
          <w:rFonts w:eastAsia="Times New Roman" w:cs="Calibri"/>
        </w:rPr>
        <w:t>om the district central office</w:t>
      </w:r>
    </w:p>
    <w:p w:rsidR="00FC28A5" w:rsidRDefault="00B75C2E" w:rsidP="00FC28A5">
      <w:pPr>
        <w:pStyle w:val="ListParagraph"/>
        <w:numPr>
          <w:ilvl w:val="0"/>
          <w:numId w:val="25"/>
        </w:numPr>
        <w:rPr>
          <w:rFonts w:eastAsia="Times New Roman" w:cs="Calibri"/>
        </w:rPr>
      </w:pPr>
      <w:r>
        <w:rPr>
          <w:rFonts w:eastAsia="Times New Roman" w:cs="Calibri"/>
        </w:rPr>
        <w:t>7</w:t>
      </w:r>
      <w:r w:rsidR="00FC28A5" w:rsidRPr="00753424">
        <w:rPr>
          <w:rFonts w:eastAsia="Times New Roman" w:cs="Calibri"/>
        </w:rPr>
        <w:t xml:space="preserve"> participants representing </w:t>
      </w:r>
      <w:r>
        <w:rPr>
          <w:rFonts w:eastAsia="Times New Roman" w:cs="Calibri"/>
        </w:rPr>
        <w:t>elementary school</w:t>
      </w:r>
    </w:p>
    <w:p w:rsidR="00FC28A5" w:rsidRDefault="00B75C2E" w:rsidP="00FC28A5">
      <w:pPr>
        <w:pStyle w:val="ListParagraph"/>
        <w:numPr>
          <w:ilvl w:val="0"/>
          <w:numId w:val="25"/>
        </w:numPr>
        <w:rPr>
          <w:rFonts w:eastAsia="Times New Roman" w:cs="Calibri"/>
        </w:rPr>
      </w:pPr>
      <w:r>
        <w:rPr>
          <w:rFonts w:eastAsia="Times New Roman" w:cs="Calibri"/>
        </w:rPr>
        <w:t>7</w:t>
      </w:r>
      <w:r w:rsidR="00FC28A5" w:rsidRPr="00753424">
        <w:rPr>
          <w:rFonts w:eastAsia="Times New Roman" w:cs="Calibri"/>
        </w:rPr>
        <w:t xml:space="preserve"> participants representing</w:t>
      </w:r>
      <w:r>
        <w:rPr>
          <w:rFonts w:eastAsia="Times New Roman" w:cs="Calibri"/>
        </w:rPr>
        <w:t xml:space="preserve"> middle school</w:t>
      </w:r>
    </w:p>
    <w:p w:rsidR="00FC28A5" w:rsidRDefault="00B75C2E" w:rsidP="00FC28A5">
      <w:pPr>
        <w:pStyle w:val="ListParagraph"/>
        <w:numPr>
          <w:ilvl w:val="0"/>
          <w:numId w:val="25"/>
        </w:numPr>
        <w:rPr>
          <w:rFonts w:eastAsia="Times New Roman" w:cs="Calibri"/>
        </w:rPr>
      </w:pPr>
      <w:r>
        <w:rPr>
          <w:rFonts w:eastAsia="Times New Roman" w:cs="Calibri"/>
        </w:rPr>
        <w:t>7</w:t>
      </w:r>
      <w:r w:rsidR="00FC28A5" w:rsidRPr="00753424">
        <w:rPr>
          <w:rFonts w:eastAsia="Times New Roman" w:cs="Calibri"/>
        </w:rPr>
        <w:t xml:space="preserve"> </w:t>
      </w:r>
      <w:r w:rsidR="00FC28A5">
        <w:rPr>
          <w:rFonts w:eastAsia="Times New Roman" w:cs="Calibri"/>
        </w:rPr>
        <w:t xml:space="preserve">participants </w:t>
      </w:r>
      <w:r w:rsidR="00FC28A5" w:rsidRPr="00753424">
        <w:rPr>
          <w:rFonts w:eastAsia="Times New Roman" w:cs="Calibri"/>
        </w:rPr>
        <w:t xml:space="preserve">representing </w:t>
      </w:r>
      <w:r>
        <w:rPr>
          <w:rFonts w:eastAsia="Times New Roman" w:cs="Calibri"/>
        </w:rPr>
        <w:t>high school</w:t>
      </w:r>
    </w:p>
    <w:p w:rsidR="00FC28A5" w:rsidRPr="00753424" w:rsidRDefault="00FC28A5" w:rsidP="00FC28A5">
      <w:pPr>
        <w:rPr>
          <w:rFonts w:eastAsia="Times New Roman" w:cs="Calibri"/>
        </w:rPr>
      </w:pPr>
    </w:p>
    <w:p w:rsidR="00FC28A5" w:rsidRDefault="00B75C2E" w:rsidP="00FC28A5">
      <w:pPr>
        <w:pStyle w:val="ListParagraph"/>
        <w:numPr>
          <w:ilvl w:val="0"/>
          <w:numId w:val="25"/>
        </w:numPr>
        <w:rPr>
          <w:rFonts w:eastAsia="Times New Roman" w:cs="Calibri"/>
        </w:rPr>
      </w:pPr>
      <w:r>
        <w:rPr>
          <w:rFonts w:eastAsia="Times New Roman" w:cs="Calibri"/>
        </w:rPr>
        <w:t>8</w:t>
      </w:r>
      <w:r w:rsidR="00FC28A5" w:rsidRPr="00753424">
        <w:rPr>
          <w:rFonts w:eastAsia="Times New Roman" w:cs="Calibri"/>
        </w:rPr>
        <w:t xml:space="preserve"> administrators</w:t>
      </w:r>
    </w:p>
    <w:p w:rsidR="00FC28A5" w:rsidRDefault="00B75C2E" w:rsidP="00FC28A5">
      <w:pPr>
        <w:pStyle w:val="ListParagraph"/>
        <w:numPr>
          <w:ilvl w:val="0"/>
          <w:numId w:val="25"/>
        </w:numPr>
        <w:rPr>
          <w:rFonts w:eastAsia="Times New Roman" w:cs="Calibri"/>
        </w:rPr>
      </w:pPr>
      <w:r>
        <w:rPr>
          <w:rFonts w:eastAsia="Times New Roman" w:cs="Calibri"/>
        </w:rPr>
        <w:t>1</w:t>
      </w:r>
      <w:r w:rsidR="00FD42F2">
        <w:rPr>
          <w:rFonts w:eastAsia="Times New Roman" w:cs="Calibri"/>
        </w:rPr>
        <w:t>5</w:t>
      </w:r>
      <w:r w:rsidR="00FC28A5" w:rsidRPr="00753424">
        <w:rPr>
          <w:rFonts w:eastAsia="Times New Roman" w:cs="Calibri"/>
        </w:rPr>
        <w:t xml:space="preserve"> teachers</w:t>
      </w:r>
    </w:p>
    <w:p w:rsidR="00FC28A5" w:rsidRDefault="00FD42F2" w:rsidP="00FC28A5">
      <w:pPr>
        <w:pStyle w:val="ListParagraph"/>
        <w:numPr>
          <w:ilvl w:val="0"/>
          <w:numId w:val="25"/>
        </w:numPr>
        <w:rPr>
          <w:rFonts w:eastAsia="Times New Roman" w:cs="Calibri"/>
        </w:rPr>
      </w:pPr>
      <w:r>
        <w:rPr>
          <w:rFonts w:eastAsia="Times New Roman" w:cs="Calibri"/>
        </w:rPr>
        <w:t xml:space="preserve">2 school counselors </w:t>
      </w:r>
    </w:p>
    <w:p w:rsidR="00FC28A5" w:rsidRPr="00753424" w:rsidRDefault="00FC28A5" w:rsidP="00FC28A5"/>
    <w:p w:rsidR="00FC28A5" w:rsidRPr="00753424" w:rsidRDefault="00FC28A5" w:rsidP="00FC28A5">
      <w:r w:rsidRPr="00753424">
        <w:t xml:space="preserve">The complete list of participants is provided in </w:t>
      </w:r>
      <w:r>
        <w:t>Appendix A</w:t>
      </w:r>
      <w:r w:rsidRPr="00753424">
        <w:t>.</w:t>
      </w:r>
    </w:p>
    <w:p w:rsidR="00FC28A5" w:rsidRPr="00753424" w:rsidRDefault="00FC28A5" w:rsidP="00FC28A5"/>
    <w:p w:rsidR="00FC28A5" w:rsidRDefault="00FC28A5" w:rsidP="00FC28A5">
      <w:pPr>
        <w:pStyle w:val="Heading2"/>
      </w:pPr>
      <w:r>
        <w:t>Results of the System Design Process</w:t>
      </w:r>
    </w:p>
    <w:p w:rsidR="00FC28A5" w:rsidRPr="00FC28A5" w:rsidRDefault="00FC28A5" w:rsidP="00FC28A5"/>
    <w:p w:rsidR="00FC28A5" w:rsidRDefault="00FC28A5" w:rsidP="00FC28A5">
      <w:pPr>
        <w:rPr>
          <w:rFonts w:eastAsia="Times New Roman" w:cs="Calibri"/>
        </w:rPr>
      </w:pPr>
      <w:r>
        <w:rPr>
          <w:rFonts w:eastAsia="Times New Roman" w:cs="Calibri"/>
        </w:rPr>
        <w:t>In the three workshops, the district team prioritized the purposes of the district assessment system, identified the types and characteristics of assessment that will be used to fulfill those purposes, and developed a timeline and plan for implementing the system they designed. The results are provided in three sections: a narrative vignette describing the system, a schematic representation of the system, and a high-level outline of the plan for moving from the existing system to the newly designed system.</w:t>
      </w:r>
    </w:p>
    <w:p w:rsidR="00FC28A5" w:rsidRDefault="00FC28A5" w:rsidP="00FC28A5">
      <w:pPr>
        <w:rPr>
          <w:rFonts w:eastAsia="Times New Roman" w:cs="Calibri"/>
        </w:rPr>
      </w:pPr>
    </w:p>
    <w:p w:rsidR="00FC28A5" w:rsidRDefault="00570380" w:rsidP="00FC28A5">
      <w:pPr>
        <w:pStyle w:val="Heading3"/>
      </w:pPr>
      <w:r>
        <w:t>Design Team Recommendations</w:t>
      </w:r>
    </w:p>
    <w:p w:rsidR="00FC28A5" w:rsidRPr="00FC28A5" w:rsidRDefault="00FC28A5" w:rsidP="00FC28A5"/>
    <w:p w:rsidR="00FC28A5" w:rsidRDefault="00570380" w:rsidP="00FC28A5">
      <w:pPr>
        <w:rPr>
          <w:rFonts w:eastAsia="Times New Roman" w:cs="Calibri"/>
        </w:rPr>
      </w:pPr>
      <w:r>
        <w:rPr>
          <w:rFonts w:eastAsia="Times New Roman" w:cs="Calibri"/>
        </w:rPr>
        <w:t>The district design team made the following recommendations:</w:t>
      </w:r>
    </w:p>
    <w:p w:rsidR="00570380" w:rsidRDefault="00570380" w:rsidP="00FC28A5">
      <w:pPr>
        <w:rPr>
          <w:rFonts w:eastAsia="Times New Roman" w:cs="Calibri"/>
        </w:rPr>
      </w:pPr>
    </w:p>
    <w:p w:rsidR="00570380" w:rsidRDefault="00570380" w:rsidP="00570380">
      <w:pPr>
        <w:pStyle w:val="ListParagraph"/>
        <w:numPr>
          <w:ilvl w:val="0"/>
          <w:numId w:val="27"/>
        </w:numPr>
        <w:rPr>
          <w:rFonts w:eastAsia="Times New Roman" w:cs="Calibri"/>
        </w:rPr>
      </w:pPr>
      <w:r>
        <w:rPr>
          <w:rFonts w:eastAsia="Times New Roman" w:cs="Calibri"/>
        </w:rPr>
        <w:t>T</w:t>
      </w:r>
      <w:r w:rsidRPr="0008226E">
        <w:rPr>
          <w:rFonts w:eastAsia="Times New Roman" w:cs="Calibri"/>
        </w:rPr>
        <w:t xml:space="preserve">he district design team prioritized assessment FOR learning (or formative assessment) for informing instruction. </w:t>
      </w:r>
      <w:r>
        <w:rPr>
          <w:rFonts w:eastAsia="Times New Roman" w:cs="Calibri"/>
        </w:rPr>
        <w:t>This means that it will be necessary to invest in professional learning in the area of formative assessment.</w:t>
      </w:r>
    </w:p>
    <w:p w:rsidR="00570380" w:rsidRDefault="00570380" w:rsidP="00570380">
      <w:pPr>
        <w:pStyle w:val="ListParagraph"/>
        <w:numPr>
          <w:ilvl w:val="0"/>
          <w:numId w:val="27"/>
        </w:numPr>
        <w:rPr>
          <w:rFonts w:eastAsia="Times New Roman" w:cs="Calibri"/>
        </w:rPr>
      </w:pPr>
      <w:r>
        <w:rPr>
          <w:rFonts w:eastAsia="Times New Roman" w:cs="Calibri"/>
        </w:rPr>
        <w:t>F</w:t>
      </w:r>
      <w:r w:rsidRPr="0008226E">
        <w:rPr>
          <w:rFonts w:eastAsia="Times New Roman" w:cs="Calibri"/>
        </w:rPr>
        <w:t xml:space="preserve">ormative assessment practices are intended to take place entirely under teacher control and is to occur in-the-moment in the classroom, before, during, and at the end of lessons. </w:t>
      </w:r>
      <w:r>
        <w:rPr>
          <w:rFonts w:eastAsia="Times New Roman" w:cs="Calibri"/>
        </w:rPr>
        <w:t xml:space="preserve">Thus, the formative assessment professional learning opportunities will need to specifically address </w:t>
      </w:r>
      <w:r>
        <w:rPr>
          <w:rFonts w:eastAsia="Times New Roman" w:cs="Calibri"/>
        </w:rPr>
        <w:lastRenderedPageBreak/>
        <w:t>very frequent formative assessment for the purpose of maintaining a constant feedback loop between teacher and student.</w:t>
      </w:r>
    </w:p>
    <w:p w:rsidR="00570380" w:rsidRDefault="00570380" w:rsidP="00570380">
      <w:pPr>
        <w:pStyle w:val="ListParagraph"/>
        <w:numPr>
          <w:ilvl w:val="0"/>
          <w:numId w:val="27"/>
        </w:numPr>
        <w:rPr>
          <w:rFonts w:eastAsia="Times New Roman" w:cs="Calibri"/>
        </w:rPr>
      </w:pPr>
      <w:r w:rsidRPr="0008226E">
        <w:rPr>
          <w:rFonts w:eastAsia="Times New Roman" w:cs="Calibri"/>
        </w:rPr>
        <w:t xml:space="preserve">In addition, teachers will be fully in control of evaluating mid-marking period achievement to inform short-term instructional grouping </w:t>
      </w:r>
      <w:r>
        <w:rPr>
          <w:rFonts w:eastAsia="Times New Roman" w:cs="Calibri"/>
        </w:rPr>
        <w:t xml:space="preserve">and next-unit planning </w:t>
      </w:r>
      <w:r w:rsidRPr="0008226E">
        <w:rPr>
          <w:rFonts w:eastAsia="Times New Roman" w:cs="Calibri"/>
        </w:rPr>
        <w:t xml:space="preserve">by using end-of-unit interim assessments (OF learning) for that purpose. </w:t>
      </w:r>
      <w:r>
        <w:rPr>
          <w:rFonts w:eastAsia="Times New Roman" w:cs="Calibri"/>
        </w:rPr>
        <w:t>This also means that professional learning should be focused on the use of end-of-unit interim assessment data for effective and appropriate instructional grouping. The design team focused on this use of interim assessment data for large units (e.g., midterms or monthly tests/papers).</w:t>
      </w:r>
    </w:p>
    <w:p w:rsidR="00570380" w:rsidRDefault="00570380" w:rsidP="00570380">
      <w:pPr>
        <w:pStyle w:val="ListParagraph"/>
        <w:numPr>
          <w:ilvl w:val="0"/>
          <w:numId w:val="27"/>
        </w:numPr>
        <w:rPr>
          <w:rFonts w:eastAsia="Times New Roman" w:cs="Calibri"/>
        </w:rPr>
      </w:pPr>
      <w:r>
        <w:rPr>
          <w:rFonts w:eastAsia="Times New Roman" w:cs="Calibri"/>
        </w:rPr>
        <w:t>The design team also prioritized using summative assessments covering either marking-period prerequisites or end-of-marking period assessments for coarser-grained instructional programming decisions such as grade or course placement.</w:t>
      </w:r>
    </w:p>
    <w:p w:rsidR="00570380" w:rsidRDefault="00570380" w:rsidP="00570380">
      <w:pPr>
        <w:pStyle w:val="ListParagraph"/>
        <w:numPr>
          <w:ilvl w:val="0"/>
          <w:numId w:val="27"/>
        </w:numPr>
        <w:rPr>
          <w:rFonts w:eastAsia="Times New Roman" w:cs="Calibri"/>
        </w:rPr>
      </w:pPr>
      <w:r>
        <w:rPr>
          <w:rFonts w:eastAsia="Times New Roman" w:cs="Calibri"/>
        </w:rPr>
        <w:t>Similarly, the design team prioritized end-of-large-unit (e.g., midterm) and end-of-marking-period (e.g., end-of-course) assessments for awarding course credit to high school students without taking a course.</w:t>
      </w:r>
    </w:p>
    <w:p w:rsidR="00570380" w:rsidRPr="00290180" w:rsidRDefault="00570380" w:rsidP="00570380">
      <w:pPr>
        <w:pStyle w:val="ListParagraph"/>
        <w:numPr>
          <w:ilvl w:val="0"/>
          <w:numId w:val="27"/>
        </w:numPr>
        <w:rPr>
          <w:rFonts w:eastAsia="Times New Roman" w:cs="Calibri"/>
        </w:rPr>
      </w:pPr>
      <w:r>
        <w:rPr>
          <w:rFonts w:eastAsia="Times New Roman" w:cs="Calibri"/>
        </w:rPr>
        <w:t>The design team prioritized end-of-small-unit interim assessments, (e.g., weekly quizzes and homework) and end-of-large-unit interim assessments (e.g., midterm exams, papers, or project and monthly exams) along with final exams, papers, and projects for grading.</w:t>
      </w:r>
    </w:p>
    <w:p w:rsidR="00570380" w:rsidRDefault="00570380" w:rsidP="00570380">
      <w:pPr>
        <w:pStyle w:val="ListParagraph"/>
        <w:numPr>
          <w:ilvl w:val="0"/>
          <w:numId w:val="27"/>
        </w:numPr>
        <w:rPr>
          <w:rFonts w:eastAsia="Times New Roman" w:cs="Calibri"/>
        </w:rPr>
      </w:pPr>
      <w:r>
        <w:rPr>
          <w:rFonts w:eastAsia="Times New Roman" w:cs="Calibri"/>
        </w:rPr>
        <w:t>The design team also prioritized screener exams to identify English learners eligible for program services, using the state EL screener exam</w:t>
      </w:r>
    </w:p>
    <w:p w:rsidR="00570380" w:rsidRDefault="00570380" w:rsidP="00570380">
      <w:pPr>
        <w:pStyle w:val="ListParagraph"/>
        <w:numPr>
          <w:ilvl w:val="0"/>
          <w:numId w:val="27"/>
        </w:numPr>
        <w:rPr>
          <w:rFonts w:eastAsia="Times New Roman" w:cs="Calibri"/>
        </w:rPr>
      </w:pPr>
      <w:r>
        <w:rPr>
          <w:rFonts w:eastAsia="Times New Roman" w:cs="Calibri"/>
        </w:rPr>
        <w:t>The district also prioritized district-selected assessments for identifying students eligible for special education services, as well as for identifying students eligible for the honor roll and other district honors.</w:t>
      </w:r>
    </w:p>
    <w:p w:rsidR="00570380" w:rsidRDefault="00570380" w:rsidP="00570380">
      <w:pPr>
        <w:pStyle w:val="ListParagraph"/>
        <w:numPr>
          <w:ilvl w:val="0"/>
          <w:numId w:val="27"/>
        </w:numPr>
        <w:rPr>
          <w:rFonts w:eastAsia="Times New Roman" w:cs="Calibri"/>
        </w:rPr>
      </w:pPr>
      <w:r>
        <w:rPr>
          <w:rFonts w:eastAsia="Times New Roman" w:cs="Calibri"/>
        </w:rPr>
        <w:t>The district also prioritized using district selected or developed assessments covering complete marking periods or complete courses of study (e.g., all of high school) for evaluating readiness for college and/or career training, whether students are on or off track for success at the next level, and for evaluating district programs and policies.</w:t>
      </w:r>
    </w:p>
    <w:p w:rsidR="00570380" w:rsidRPr="0008226E" w:rsidRDefault="00570380" w:rsidP="00570380">
      <w:pPr>
        <w:pStyle w:val="ListParagraph"/>
        <w:numPr>
          <w:ilvl w:val="0"/>
          <w:numId w:val="27"/>
        </w:numPr>
        <w:rPr>
          <w:rFonts w:eastAsia="Times New Roman" w:cs="Calibri"/>
        </w:rPr>
      </w:pPr>
      <w:r>
        <w:rPr>
          <w:rFonts w:eastAsia="Times New Roman" w:cs="Calibri"/>
        </w:rPr>
        <w:t>Finally, the district determined to use state developed or state selected assessments for measuring student growth for both program and policy evaluation and for teacher evaluation.</w:t>
      </w:r>
      <w:r w:rsidRPr="0008226E">
        <w:rPr>
          <w:rFonts w:eastAsia="Times New Roman" w:cs="Calibri"/>
        </w:rPr>
        <w:t xml:space="preserve"> </w:t>
      </w:r>
    </w:p>
    <w:p w:rsidR="00570380" w:rsidRDefault="00570380" w:rsidP="00FC28A5">
      <w:pPr>
        <w:rPr>
          <w:rFonts w:eastAsia="Times New Roman" w:cs="Calibri"/>
        </w:rPr>
      </w:pPr>
    </w:p>
    <w:p w:rsidR="00FC28A5" w:rsidRDefault="00FC28A5" w:rsidP="00FC28A5">
      <w:pPr>
        <w:rPr>
          <w:rFonts w:eastAsia="Times New Roman" w:cs="Calibri"/>
        </w:rPr>
      </w:pPr>
      <w:r>
        <w:rPr>
          <w:rFonts w:eastAsia="Times New Roman" w:cs="Calibri"/>
        </w:rPr>
        <w:t>Note that professional learning will likely be necessary for most of the system, as shown in the schematic below. Some professional learning resources may be available from the state.</w:t>
      </w:r>
    </w:p>
    <w:p w:rsidR="00FC28A5" w:rsidRDefault="00FC28A5" w:rsidP="00FC28A5">
      <w:pPr>
        <w:rPr>
          <w:rFonts w:eastAsia="Times New Roman" w:cs="Calibri"/>
        </w:rPr>
      </w:pPr>
      <w:r>
        <w:rPr>
          <w:rFonts w:eastAsia="Times New Roman" w:cs="Calibri"/>
        </w:rPr>
        <w:br w:type="page"/>
      </w:r>
    </w:p>
    <w:p w:rsidR="00FC28A5" w:rsidRDefault="00FC28A5" w:rsidP="00FC28A5">
      <w:pPr>
        <w:pStyle w:val="Heading1"/>
        <w:rPr>
          <w:rFonts w:eastAsia="Times New Roman"/>
        </w:rPr>
      </w:pPr>
      <w:r>
        <w:rPr>
          <w:rFonts w:eastAsia="Times New Roman"/>
        </w:rPr>
        <w:lastRenderedPageBreak/>
        <w:t>Workshop 1</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In Workshop 1 the Design Team first reviewed key assessment vocabulary. The purpose of the review was to address the issue of a fractured vocabulary in the field of assessment, where the same term is used to mean different things by different people. Sometimes this is just a natural outgrowth of a developing field, and sometimes this is because a term has been used inappropriately to market assessment products. The definitions of key terms are provided in Appendix B.</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The team next reviewed a considerable list of purposes for assessment, which are provided in Appendix C.</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To finish the first workshop, the team began performing an audit of the existing district assessment system using a Workbook that used the vocabulary and purposes reviewed in the workshop. This was completed between Workshop 1 and 2. The results of the audit are provided in Tables 3 and 4 below.</w:t>
      </w:r>
      <w:r w:rsidR="00B92E2E">
        <w:rPr>
          <w:rFonts w:eastAsia="Times New Roman" w:cs="Calibri"/>
        </w:rPr>
        <w:t xml:space="preserve"> The table</w:t>
      </w:r>
      <w:r>
        <w:rPr>
          <w:rFonts w:eastAsia="Times New Roman" w:cs="Calibri"/>
        </w:rPr>
        <w:t xml:space="preserve"> was developed by evaluating the characteristics of the assessments entered into the audit against the purposes entered into the audit for the same assessment. The ratings of how well the characteristic of assessments matched the purposes listed is based on an expert rating of the degree of match by staff at the Center for Assessment.</w:t>
      </w:r>
    </w:p>
    <w:p w:rsidR="00FC28A5" w:rsidRDefault="00FC28A5" w:rsidP="00FC28A5">
      <w:pPr>
        <w:rPr>
          <w:rFonts w:eastAsia="Times New Roman" w:cs="Calibri"/>
        </w:rPr>
      </w:pPr>
    </w:p>
    <w:p w:rsidR="00FC28A5" w:rsidRDefault="00FC28A5" w:rsidP="00FC28A5">
      <w:pPr>
        <w:pStyle w:val="Heading1"/>
        <w:rPr>
          <w:rFonts w:eastAsia="Times New Roman"/>
        </w:rPr>
      </w:pPr>
      <w:r w:rsidRPr="00761677">
        <w:rPr>
          <w:rFonts w:eastAsia="Times New Roman"/>
        </w:rPr>
        <w:t>Workshop 2</w:t>
      </w:r>
    </w:p>
    <w:p w:rsidR="00FC28A5" w:rsidRDefault="00FC28A5" w:rsidP="00FC28A5">
      <w:pPr>
        <w:rPr>
          <w:rFonts w:eastAsia="Times New Roman" w:cs="Calibri"/>
        </w:rPr>
      </w:pPr>
    </w:p>
    <w:p w:rsidR="00B92E2E" w:rsidRDefault="00FC28A5" w:rsidP="00FC28A5">
      <w:pPr>
        <w:rPr>
          <w:rFonts w:eastAsia="Times New Roman" w:cs="Calibri"/>
        </w:rPr>
      </w:pPr>
      <w:r>
        <w:rPr>
          <w:rFonts w:eastAsia="Times New Roman" w:cs="Calibri"/>
        </w:rPr>
        <w:t xml:space="preserve">In Workshop 2, the district team </w:t>
      </w:r>
      <w:r w:rsidR="00B92E2E">
        <w:rPr>
          <w:rFonts w:eastAsia="Times New Roman" w:cs="Calibri"/>
        </w:rPr>
        <w:t xml:space="preserve">reviewed the results of the district assessment audit, using the figures on the following </w:t>
      </w:r>
      <w:r w:rsidR="00B92E2E" w:rsidRPr="003F786F">
        <w:rPr>
          <w:rFonts w:eastAsia="Times New Roman" w:cs="Calibri"/>
        </w:rPr>
        <w:t xml:space="preserve">page. </w:t>
      </w:r>
      <w:r w:rsidR="003F786F" w:rsidRPr="003F786F">
        <w:rPr>
          <w:rFonts w:eastAsia="Times New Roman" w:cs="Calibri"/>
        </w:rPr>
        <w:t xml:space="preserve">In </w:t>
      </w:r>
      <w:r w:rsidR="003F786F">
        <w:rPr>
          <w:rFonts w:eastAsia="Times New Roman" w:cs="Calibri"/>
        </w:rPr>
        <w:t xml:space="preserve">the first figure, the numbers represent how many entries in the audit there were that fell into each </w:t>
      </w:r>
      <w:r w:rsidR="00D655AB">
        <w:rPr>
          <w:rFonts w:eastAsia="Times New Roman" w:cs="Calibri"/>
        </w:rPr>
        <w:t xml:space="preserve">combination of purpose (the rows) and assessment characteristic (the columns). The colors represent how well the combination of purposes and characteristics were matched. As can be seen in both figures, most of the characteristics of assessment were at strongly to </w:t>
      </w:r>
      <w:r w:rsidR="00F7102A">
        <w:rPr>
          <w:rFonts w:eastAsia="Times New Roman" w:cs="Calibri"/>
        </w:rPr>
        <w:t>optimally</w:t>
      </w:r>
      <w:r w:rsidR="00D655AB">
        <w:rPr>
          <w:rFonts w:eastAsia="Times New Roman" w:cs="Calibri"/>
        </w:rPr>
        <w:t xml:space="preserve"> matched to the purposes the assessments are used for, but there are some important exceptions. Particularly in the case of mindset (or type of assessment) and in what the assessments cover and when they occur, there are some characteristics that are not at all matched to the purposes for which the assessments are used. This indicates a need to review at least some existing assessments for modification or replacement.</w:t>
      </w:r>
    </w:p>
    <w:p w:rsidR="00D655AB" w:rsidRDefault="00D655AB" w:rsidP="00FC28A5">
      <w:pPr>
        <w:rPr>
          <w:rFonts w:eastAsia="Times New Roman" w:cs="Calibri"/>
        </w:rPr>
      </w:pPr>
    </w:p>
    <w:p w:rsidR="00D655AB" w:rsidRDefault="00D655AB" w:rsidP="00FC28A5">
      <w:pPr>
        <w:rPr>
          <w:rFonts w:eastAsia="Times New Roman" w:cs="Calibri"/>
        </w:rPr>
      </w:pPr>
    </w:p>
    <w:p w:rsidR="00B92E2E" w:rsidRDefault="00B92E2E" w:rsidP="00FC28A5">
      <w:pPr>
        <w:rPr>
          <w:rFonts w:eastAsia="Times New Roman" w:cs="Calibri"/>
        </w:rPr>
        <w:sectPr w:rsidR="00B92E2E" w:rsidSect="00FC28A5">
          <w:pgSz w:w="12240" w:h="15840"/>
          <w:pgMar w:top="1440" w:right="1440" w:bottom="1440" w:left="1440" w:header="720" w:footer="720" w:gutter="0"/>
          <w:cols w:space="720"/>
          <w:docGrid w:linePitch="360"/>
        </w:sectPr>
      </w:pPr>
    </w:p>
    <w:p w:rsidR="00B92E2E" w:rsidRDefault="00B92E2E" w:rsidP="00FC28A5">
      <w:pPr>
        <w:rPr>
          <w:rFonts w:eastAsia="Times New Roman" w:cs="Calibri"/>
          <w:highlight w:val="yellow"/>
        </w:rPr>
      </w:pPr>
    </w:p>
    <w:p w:rsidR="00B92E2E" w:rsidRPr="00B92E2E" w:rsidRDefault="00B92E2E" w:rsidP="00B92E2E">
      <w:pPr>
        <w:pStyle w:val="Heading3"/>
        <w:rPr>
          <w:rFonts w:eastAsia="Times New Roman"/>
        </w:rPr>
      </w:pPr>
      <w:r w:rsidRPr="00B92E2E">
        <w:rPr>
          <w:rFonts w:eastAsia="Times New Roman"/>
        </w:rPr>
        <w:t>Detailed Results of the District Assessment Audit</w:t>
      </w:r>
    </w:p>
    <w:p w:rsidR="00B92E2E" w:rsidRDefault="003F786F" w:rsidP="00FC28A5">
      <w:pPr>
        <w:rPr>
          <w:rFonts w:eastAsia="Times New Roman" w:cs="Calibri"/>
        </w:rPr>
      </w:pPr>
      <w:r w:rsidRPr="003F786F">
        <w:rPr>
          <w:rFonts w:eastAsia="Times New Roman" w:cs="Calibri"/>
          <w:noProof/>
        </w:rPr>
        <w:drawing>
          <wp:inline distT="0" distB="0" distL="0" distR="0" wp14:anchorId="0E4D4AC8" wp14:editId="4DEA515A">
            <wp:extent cx="9144000" cy="3950208"/>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9144000" cy="3950208"/>
                    </a:xfrm>
                    <a:prstGeom prst="rect">
                      <a:avLst/>
                    </a:prstGeom>
                  </pic:spPr>
                </pic:pic>
              </a:graphicData>
            </a:graphic>
          </wp:inline>
        </w:drawing>
      </w:r>
    </w:p>
    <w:p w:rsidR="00B92E2E" w:rsidRDefault="00B92E2E" w:rsidP="00FC28A5">
      <w:pPr>
        <w:rPr>
          <w:rFonts w:eastAsia="Times New Roman" w:cs="Calibri"/>
          <w:highlight w:val="yellow"/>
        </w:rPr>
      </w:pPr>
    </w:p>
    <w:p w:rsidR="00B92E2E" w:rsidRPr="00B92E2E" w:rsidRDefault="00B92E2E" w:rsidP="00B92E2E">
      <w:pPr>
        <w:pStyle w:val="Heading3"/>
        <w:rPr>
          <w:rFonts w:eastAsia="Times New Roman"/>
        </w:rPr>
      </w:pPr>
      <w:r w:rsidRPr="00B92E2E">
        <w:rPr>
          <w:rFonts w:eastAsia="Times New Roman"/>
        </w:rPr>
        <w:t>Summary Results of the District Assessment Audit</w:t>
      </w:r>
    </w:p>
    <w:p w:rsidR="00B92E2E" w:rsidRDefault="003F786F" w:rsidP="00FC28A5">
      <w:pPr>
        <w:rPr>
          <w:rFonts w:eastAsia="Times New Roman" w:cs="Calibri"/>
        </w:rPr>
      </w:pPr>
      <w:r>
        <w:rPr>
          <w:rFonts w:eastAsia="Times New Roman" w:cs="Calibri"/>
          <w:noProof/>
        </w:rPr>
        <w:drawing>
          <wp:inline distT="0" distB="0" distL="0" distR="0">
            <wp:extent cx="4185920" cy="1493559"/>
            <wp:effectExtent l="0" t="0" r="508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 Shot 2018-06-29 at 3.27.23 AM.png"/>
                    <pic:cNvPicPr/>
                  </pic:nvPicPr>
                  <pic:blipFill>
                    <a:blip r:embed="rId18">
                      <a:extLst>
                        <a:ext uri="{28A0092B-C50C-407E-A947-70E740481C1C}">
                          <a14:useLocalDpi xmlns:a14="http://schemas.microsoft.com/office/drawing/2010/main" val="0"/>
                        </a:ext>
                      </a:extLst>
                    </a:blip>
                    <a:stretch>
                      <a:fillRect/>
                    </a:stretch>
                  </pic:blipFill>
                  <pic:spPr>
                    <a:xfrm>
                      <a:off x="0" y="0"/>
                      <a:ext cx="4193521" cy="1496271"/>
                    </a:xfrm>
                    <a:prstGeom prst="rect">
                      <a:avLst/>
                    </a:prstGeom>
                  </pic:spPr>
                </pic:pic>
              </a:graphicData>
            </a:graphic>
          </wp:inline>
        </w:drawing>
      </w:r>
    </w:p>
    <w:p w:rsidR="00B92E2E" w:rsidRDefault="00B92E2E" w:rsidP="00FC28A5">
      <w:pPr>
        <w:rPr>
          <w:rFonts w:eastAsia="Times New Roman" w:cs="Calibri"/>
        </w:rPr>
      </w:pPr>
    </w:p>
    <w:p w:rsidR="003F786F" w:rsidRDefault="003F786F" w:rsidP="00FC28A5">
      <w:pPr>
        <w:rPr>
          <w:rFonts w:eastAsia="Times New Roman" w:cs="Calibri"/>
        </w:rPr>
        <w:sectPr w:rsidR="003F786F" w:rsidSect="00B92E2E">
          <w:pgSz w:w="15840" w:h="12240" w:orient="landscape"/>
          <w:pgMar w:top="720" w:right="720" w:bottom="720" w:left="720" w:header="720" w:footer="720" w:gutter="0"/>
          <w:cols w:space="720"/>
          <w:docGrid w:linePitch="360"/>
        </w:sectPr>
      </w:pPr>
    </w:p>
    <w:p w:rsidR="00FC28A5" w:rsidRDefault="00B92E2E" w:rsidP="00FC28A5">
      <w:pPr>
        <w:rPr>
          <w:rFonts w:eastAsia="Times New Roman" w:cs="Calibri"/>
        </w:rPr>
      </w:pPr>
      <w:r>
        <w:rPr>
          <w:rFonts w:eastAsia="Times New Roman" w:cs="Calibri"/>
        </w:rPr>
        <w:lastRenderedPageBreak/>
        <w:t xml:space="preserve">Following the review of the results of the district assessment audit, the Design Team </w:t>
      </w:r>
      <w:r w:rsidR="00FC28A5">
        <w:rPr>
          <w:rFonts w:eastAsia="Times New Roman" w:cs="Calibri"/>
        </w:rPr>
        <w:t xml:space="preserve">selected a subset </w:t>
      </w:r>
      <w:r>
        <w:rPr>
          <w:rFonts w:eastAsia="Times New Roman" w:cs="Calibri"/>
        </w:rPr>
        <w:t>possible</w:t>
      </w:r>
      <w:r w:rsidR="00FC28A5">
        <w:rPr>
          <w:rFonts w:eastAsia="Times New Roman" w:cs="Calibri"/>
        </w:rPr>
        <w:t xml:space="preserve"> purposes of assessment to </w:t>
      </w:r>
      <w:r>
        <w:rPr>
          <w:rFonts w:eastAsia="Times New Roman" w:cs="Calibri"/>
        </w:rPr>
        <w:t>design a system that is simple enough to be feasible but comprehensive enough to serve the needs of the various stakeholders.</w:t>
      </w:r>
      <w:r w:rsidR="00FC28A5">
        <w:rPr>
          <w:rFonts w:eastAsia="Times New Roman" w:cs="Calibri"/>
        </w:rPr>
        <w:t xml:space="preserve"> From that subset deemed important enough to include, they then prioritized those purposes relative to each other on the scale </w:t>
      </w:r>
      <w:r w:rsidR="00FC28A5" w:rsidRPr="0059781D">
        <w:rPr>
          <w:rFonts w:eastAsia="Times New Roman" w:cs="Calibri"/>
          <w:i/>
        </w:rPr>
        <w:t>low</w:t>
      </w:r>
      <w:r w:rsidR="00FC28A5">
        <w:rPr>
          <w:rFonts w:eastAsia="Times New Roman" w:cs="Calibri"/>
        </w:rPr>
        <w:t xml:space="preserve">, </w:t>
      </w:r>
      <w:r w:rsidR="00FC28A5" w:rsidRPr="0059781D">
        <w:rPr>
          <w:rFonts w:eastAsia="Times New Roman" w:cs="Calibri"/>
          <w:i/>
        </w:rPr>
        <w:t>mid</w:t>
      </w:r>
      <w:r w:rsidR="00FC28A5">
        <w:rPr>
          <w:rFonts w:eastAsia="Times New Roman" w:cs="Calibri"/>
        </w:rPr>
        <w:t xml:space="preserve">, </w:t>
      </w:r>
      <w:r w:rsidR="00FC28A5" w:rsidRPr="0059781D">
        <w:rPr>
          <w:rFonts w:eastAsia="Times New Roman" w:cs="Calibri"/>
          <w:i/>
        </w:rPr>
        <w:t>high</w:t>
      </w:r>
      <w:r w:rsidR="00FC28A5">
        <w:rPr>
          <w:rFonts w:eastAsia="Times New Roman" w:cs="Calibri"/>
        </w:rPr>
        <w:t xml:space="preserve">, and </w:t>
      </w:r>
      <w:r w:rsidR="00FC28A5" w:rsidRPr="0059781D">
        <w:rPr>
          <w:rFonts w:eastAsia="Times New Roman" w:cs="Calibri"/>
          <w:i/>
        </w:rPr>
        <w:t>critical</w:t>
      </w:r>
      <w:r w:rsidR="00FC28A5">
        <w:rPr>
          <w:rFonts w:eastAsia="Times New Roman" w:cs="Calibri"/>
        </w:rPr>
        <w:t xml:space="preserve"> (where the prioritization is relative to each other; the entire set was deemed important in the first step). Based on that ranking, the </w:t>
      </w:r>
      <w:r>
        <w:rPr>
          <w:rFonts w:eastAsia="Times New Roman" w:cs="Calibri"/>
        </w:rPr>
        <w:t>Project Workbook</w:t>
      </w:r>
      <w:r w:rsidR="00FC28A5">
        <w:rPr>
          <w:rFonts w:eastAsia="Times New Roman" w:cs="Calibri"/>
        </w:rPr>
        <w:t xml:space="preserve"> showed what </w:t>
      </w:r>
      <w:r>
        <w:rPr>
          <w:rFonts w:eastAsia="Times New Roman" w:cs="Calibri"/>
        </w:rPr>
        <w:t>mindsets/</w:t>
      </w:r>
      <w:r w:rsidR="00FC28A5">
        <w:rPr>
          <w:rFonts w:eastAsia="Times New Roman" w:cs="Calibri"/>
        </w:rPr>
        <w:t xml:space="preserve">types and characteristics of assessment were best matched with each intended purpose, giving greater weight to </w:t>
      </w:r>
      <w:r w:rsidR="00FC28A5" w:rsidRPr="0059781D">
        <w:rPr>
          <w:rFonts w:eastAsia="Times New Roman" w:cs="Calibri"/>
          <w:i/>
        </w:rPr>
        <w:t>critical</w:t>
      </w:r>
      <w:r w:rsidR="00FC28A5">
        <w:rPr>
          <w:rFonts w:eastAsia="Times New Roman" w:cs="Calibri"/>
        </w:rPr>
        <w:t xml:space="preserve"> priority purposes than </w:t>
      </w:r>
      <w:r w:rsidR="00FC28A5" w:rsidRPr="0059781D">
        <w:rPr>
          <w:rFonts w:eastAsia="Times New Roman" w:cs="Calibri"/>
          <w:i/>
        </w:rPr>
        <w:t>high</w:t>
      </w:r>
      <w:r w:rsidR="00FC28A5">
        <w:rPr>
          <w:rFonts w:eastAsia="Times New Roman" w:cs="Calibri"/>
        </w:rPr>
        <w:t xml:space="preserve"> priority purposes, which were in turn given greater weight than </w:t>
      </w:r>
      <w:r w:rsidR="00FC28A5" w:rsidRPr="0059781D">
        <w:rPr>
          <w:rFonts w:eastAsia="Times New Roman" w:cs="Calibri"/>
          <w:i/>
        </w:rPr>
        <w:t>mid</w:t>
      </w:r>
      <w:r w:rsidR="00FC28A5">
        <w:rPr>
          <w:rFonts w:eastAsia="Times New Roman" w:cs="Calibri"/>
        </w:rPr>
        <w:t xml:space="preserve"> priority purposes, and so on.</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 xml:space="preserve">By starting with </w:t>
      </w:r>
      <w:r w:rsidRPr="0059781D">
        <w:rPr>
          <w:rFonts w:eastAsia="Times New Roman" w:cs="Calibri"/>
          <w:i/>
        </w:rPr>
        <w:t>critical</w:t>
      </w:r>
      <w:r>
        <w:rPr>
          <w:rFonts w:eastAsia="Times New Roman" w:cs="Calibri"/>
        </w:rPr>
        <w:t xml:space="preserve"> and </w:t>
      </w:r>
      <w:r w:rsidRPr="0059781D">
        <w:rPr>
          <w:rFonts w:eastAsia="Times New Roman" w:cs="Calibri"/>
          <w:i/>
        </w:rPr>
        <w:t>high</w:t>
      </w:r>
      <w:r>
        <w:rPr>
          <w:rFonts w:eastAsia="Times New Roman" w:cs="Calibri"/>
        </w:rPr>
        <w:t xml:space="preserve"> priority purposes, the team was able to select </w:t>
      </w:r>
      <w:r w:rsidR="00B92E2E">
        <w:rPr>
          <w:rFonts w:eastAsia="Times New Roman" w:cs="Calibri"/>
        </w:rPr>
        <w:t>mindsets/</w:t>
      </w:r>
      <w:r>
        <w:rPr>
          <w:rFonts w:eastAsia="Times New Roman" w:cs="Calibri"/>
        </w:rPr>
        <w:t xml:space="preserve">types of assessment and characteristics of assessment that were ideally-matched or strongly-matched to the most important purposes as determined by the team. The team was then able to move on to </w:t>
      </w:r>
      <w:r w:rsidRPr="0059781D">
        <w:rPr>
          <w:rFonts w:eastAsia="Times New Roman" w:cs="Calibri"/>
          <w:i/>
        </w:rPr>
        <w:t>mid</w:t>
      </w:r>
      <w:r>
        <w:rPr>
          <w:rFonts w:eastAsia="Times New Roman" w:cs="Calibri"/>
        </w:rPr>
        <w:t xml:space="preserve"> and </w:t>
      </w:r>
      <w:r w:rsidRPr="0059781D">
        <w:rPr>
          <w:rFonts w:eastAsia="Times New Roman" w:cs="Calibri"/>
          <w:i/>
        </w:rPr>
        <w:t>low</w:t>
      </w:r>
      <w:r>
        <w:rPr>
          <w:rFonts w:eastAsia="Times New Roman" w:cs="Calibri"/>
        </w:rPr>
        <w:t xml:space="preserve"> priority </w:t>
      </w:r>
      <w:r w:rsidR="00B92E2E">
        <w:rPr>
          <w:rFonts w:eastAsia="Times New Roman" w:cs="Calibri"/>
        </w:rPr>
        <w:t>purposes and</w:t>
      </w:r>
      <w:r>
        <w:rPr>
          <w:rFonts w:eastAsia="Times New Roman" w:cs="Calibri"/>
        </w:rPr>
        <w:t xml:space="preserve"> were able to use some of the assessments already selected for higher-priority purposes if it was felt that a stronger match could make the system more complex and burdensome that was justified.</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 xml:space="preserve">The results of that activity produced a design matrix giving a strong depiction of what the final recommended system would include. The design matrix is shown in </w:t>
      </w:r>
      <w:r w:rsidR="00B92E2E">
        <w:rPr>
          <w:rFonts w:eastAsia="Times New Roman" w:cs="Calibri"/>
        </w:rPr>
        <w:t>the figure</w:t>
      </w:r>
      <w:r>
        <w:rPr>
          <w:rFonts w:eastAsia="Times New Roman" w:cs="Calibri"/>
        </w:rPr>
        <w:t xml:space="preserve"> on the next page. That figure was interpreted by the </w:t>
      </w:r>
      <w:r w:rsidR="00B92E2E">
        <w:rPr>
          <w:rFonts w:eastAsia="Times New Roman" w:cs="Calibri"/>
        </w:rPr>
        <w:t>External</w:t>
      </w:r>
      <w:r>
        <w:rPr>
          <w:rFonts w:eastAsia="Times New Roman" w:cs="Calibri"/>
        </w:rPr>
        <w:t xml:space="preserve"> Facilitator to produce the narrative and graphical vignettes of the recommended system as given in the Executive Summary</w:t>
      </w:r>
      <w:r w:rsidR="00B30A98">
        <w:rPr>
          <w:rFonts w:eastAsia="Times New Roman" w:cs="Calibri"/>
        </w:rPr>
        <w:t xml:space="preserve"> and on the following pages</w:t>
      </w:r>
      <w:r>
        <w:rPr>
          <w:rFonts w:eastAsia="Times New Roman" w:cs="Calibri"/>
        </w:rPr>
        <w:t>.</w:t>
      </w:r>
      <w:r w:rsidR="00B30A98">
        <w:rPr>
          <w:rFonts w:eastAsia="Times New Roman" w:cs="Calibri"/>
        </w:rPr>
        <w:t xml:space="preserve"> The graphical vignette bears some explanation. A complete slide deck explaining how all of the components work together has also been created. It builds up the system piece by piece to show the roles of various stakeholders, the kinds of assessment that are intended to be used, and how they fit together. This schematic can be helpful in evaluating whether any new proposed components of the district assessment system will fit within a coherent system of assessments. It also gives a sound basis for periodically evaluating whether there are modifications needed and doing so in a principled manner.</w:t>
      </w:r>
    </w:p>
    <w:p w:rsidR="00FC28A5" w:rsidRDefault="00FC28A5" w:rsidP="00FC28A5">
      <w:pPr>
        <w:rPr>
          <w:rFonts w:eastAsia="Times New Roman" w:cs="Calibri"/>
        </w:rPr>
      </w:pPr>
    </w:p>
    <w:p w:rsidR="00FC28A5" w:rsidRDefault="00FC28A5" w:rsidP="00FC28A5">
      <w:pPr>
        <w:rPr>
          <w:rFonts w:eastAsia="Times New Roman" w:cs="Calibri"/>
        </w:rPr>
      </w:pPr>
    </w:p>
    <w:p w:rsidR="00FC28A5" w:rsidRDefault="00FC28A5" w:rsidP="00FC28A5">
      <w:pPr>
        <w:rPr>
          <w:rFonts w:eastAsia="Times New Roman" w:cs="Calibri"/>
        </w:rPr>
        <w:sectPr w:rsidR="00FC28A5" w:rsidSect="00FC28A5">
          <w:pgSz w:w="12240" w:h="15840"/>
          <w:pgMar w:top="1440" w:right="1440" w:bottom="1440" w:left="1440" w:header="720" w:footer="720" w:gutter="0"/>
          <w:cols w:space="720"/>
          <w:docGrid w:linePitch="360"/>
        </w:sectPr>
      </w:pPr>
    </w:p>
    <w:p w:rsidR="00B92E2E" w:rsidRDefault="00B92E2E" w:rsidP="00FC28A5">
      <w:pPr>
        <w:rPr>
          <w:rFonts w:eastAsia="Times New Roman" w:cs="Calibri"/>
        </w:rPr>
      </w:pPr>
    </w:p>
    <w:p w:rsidR="00FC28A5" w:rsidRDefault="00FC28A5" w:rsidP="00B92E2E">
      <w:pPr>
        <w:pStyle w:val="Heading3"/>
        <w:rPr>
          <w:rFonts w:eastAsia="Times New Roman"/>
        </w:rPr>
      </w:pPr>
      <w:r>
        <w:rPr>
          <w:rFonts w:eastAsia="Times New Roman"/>
        </w:rPr>
        <w:t xml:space="preserve">Design Matrix Resulting from </w:t>
      </w:r>
      <w:r w:rsidR="00B92E2E">
        <w:rPr>
          <w:rFonts w:eastAsia="Times New Roman"/>
        </w:rPr>
        <w:t>The Project</w:t>
      </w:r>
      <w:r>
        <w:rPr>
          <w:rFonts w:eastAsia="Times New Roman"/>
        </w:rPr>
        <w:t>.</w:t>
      </w:r>
    </w:p>
    <w:p w:rsidR="00B92E2E" w:rsidRDefault="00D655AB" w:rsidP="00FC28A5">
      <w:pPr>
        <w:rPr>
          <w:rFonts w:eastAsia="Times New Roman" w:cs="Calibri"/>
        </w:rPr>
      </w:pPr>
      <w:r>
        <w:rPr>
          <w:rFonts w:eastAsia="Times New Roman" w:cs="Calibri"/>
          <w:noProof/>
        </w:rPr>
        <w:drawing>
          <wp:inline distT="0" distB="0" distL="0" distR="0">
            <wp:extent cx="11887200" cy="3439795"/>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6-29 at 7.02.32 AM.png"/>
                    <pic:cNvPicPr/>
                  </pic:nvPicPr>
                  <pic:blipFill>
                    <a:blip r:embed="rId19">
                      <a:extLst>
                        <a:ext uri="{28A0092B-C50C-407E-A947-70E740481C1C}">
                          <a14:useLocalDpi xmlns:a14="http://schemas.microsoft.com/office/drawing/2010/main" val="0"/>
                        </a:ext>
                      </a:extLst>
                    </a:blip>
                    <a:stretch>
                      <a:fillRect/>
                    </a:stretch>
                  </pic:blipFill>
                  <pic:spPr>
                    <a:xfrm>
                      <a:off x="0" y="0"/>
                      <a:ext cx="11887200" cy="3439795"/>
                    </a:xfrm>
                    <a:prstGeom prst="rect">
                      <a:avLst/>
                    </a:prstGeom>
                  </pic:spPr>
                </pic:pic>
              </a:graphicData>
            </a:graphic>
          </wp:inline>
        </w:drawing>
      </w:r>
    </w:p>
    <w:p w:rsidR="00B92E2E" w:rsidRDefault="00B92E2E" w:rsidP="00FC28A5">
      <w:pPr>
        <w:rPr>
          <w:rFonts w:eastAsia="Times New Roman" w:cs="Calibri"/>
        </w:rPr>
      </w:pPr>
    </w:p>
    <w:p w:rsidR="0008226E" w:rsidRDefault="00D655AB" w:rsidP="00FC28A5">
      <w:pPr>
        <w:rPr>
          <w:rFonts w:eastAsia="Times New Roman" w:cs="Calibri"/>
        </w:rPr>
      </w:pPr>
      <w:r>
        <w:rPr>
          <w:rFonts w:eastAsia="Times New Roman" w:cs="Calibri"/>
        </w:rPr>
        <w:t xml:space="preserve">In this figure, </w:t>
      </w:r>
      <w:r w:rsidR="0008226E">
        <w:rPr>
          <w:rFonts w:eastAsia="Times New Roman" w:cs="Calibri"/>
        </w:rPr>
        <w:t>the following can be seen:</w:t>
      </w:r>
    </w:p>
    <w:p w:rsidR="0008226E" w:rsidRDefault="0008226E" w:rsidP="00FC28A5">
      <w:pPr>
        <w:rPr>
          <w:rFonts w:eastAsia="Times New Roman" w:cs="Calibri"/>
        </w:rPr>
      </w:pPr>
    </w:p>
    <w:p w:rsidR="0008226E" w:rsidRDefault="0008226E" w:rsidP="0008226E">
      <w:pPr>
        <w:pStyle w:val="ListParagraph"/>
        <w:numPr>
          <w:ilvl w:val="0"/>
          <w:numId w:val="27"/>
        </w:numPr>
        <w:rPr>
          <w:rFonts w:eastAsia="Times New Roman" w:cs="Calibri"/>
        </w:rPr>
      </w:pPr>
      <w:r>
        <w:rPr>
          <w:rFonts w:eastAsia="Times New Roman" w:cs="Calibri"/>
        </w:rPr>
        <w:t>T</w:t>
      </w:r>
      <w:r w:rsidR="00D655AB" w:rsidRPr="0008226E">
        <w:rPr>
          <w:rFonts w:eastAsia="Times New Roman" w:cs="Calibri"/>
        </w:rPr>
        <w:t xml:space="preserve">he district design team prioritized assessment FOR learning (or formative assessment) for informing instruction. </w:t>
      </w:r>
      <w:r>
        <w:rPr>
          <w:rFonts w:eastAsia="Times New Roman" w:cs="Calibri"/>
        </w:rPr>
        <w:t>This means that it will be necessary to invest in professional learning in the area of formative assessment.</w:t>
      </w:r>
    </w:p>
    <w:p w:rsidR="0008226E" w:rsidRDefault="0008226E" w:rsidP="0008226E">
      <w:pPr>
        <w:pStyle w:val="ListParagraph"/>
        <w:numPr>
          <w:ilvl w:val="0"/>
          <w:numId w:val="27"/>
        </w:numPr>
        <w:rPr>
          <w:rFonts w:eastAsia="Times New Roman" w:cs="Calibri"/>
        </w:rPr>
      </w:pPr>
      <w:r>
        <w:rPr>
          <w:rFonts w:eastAsia="Times New Roman" w:cs="Calibri"/>
        </w:rPr>
        <w:t>F</w:t>
      </w:r>
      <w:r w:rsidR="003C7611" w:rsidRPr="0008226E">
        <w:rPr>
          <w:rFonts w:eastAsia="Times New Roman" w:cs="Calibri"/>
        </w:rPr>
        <w:t xml:space="preserve">ormative assessment practices are intended to take place entirely under teacher control and is to occur in-the-moment in the classroom, before, during, and at the end of lessons. </w:t>
      </w:r>
      <w:r>
        <w:rPr>
          <w:rFonts w:eastAsia="Times New Roman" w:cs="Calibri"/>
        </w:rPr>
        <w:t>Thus, the formative assessment professional learning opportunities will need to specifically address very frequent formative assessment for the purpose of maintaining a constant feedback loop between teacher and student.</w:t>
      </w:r>
    </w:p>
    <w:p w:rsidR="00D655AB" w:rsidRDefault="003C7611" w:rsidP="0008226E">
      <w:pPr>
        <w:pStyle w:val="ListParagraph"/>
        <w:numPr>
          <w:ilvl w:val="0"/>
          <w:numId w:val="27"/>
        </w:numPr>
        <w:rPr>
          <w:rFonts w:eastAsia="Times New Roman" w:cs="Calibri"/>
        </w:rPr>
      </w:pPr>
      <w:r w:rsidRPr="0008226E">
        <w:rPr>
          <w:rFonts w:eastAsia="Times New Roman" w:cs="Calibri"/>
        </w:rPr>
        <w:t>In addition, teachers will be fully in control of evaluating mid-marking period achievement to inform sho</w:t>
      </w:r>
      <w:r w:rsidR="0008226E" w:rsidRPr="0008226E">
        <w:rPr>
          <w:rFonts w:eastAsia="Times New Roman" w:cs="Calibri"/>
        </w:rPr>
        <w:t xml:space="preserve">rt-term instructional grouping </w:t>
      </w:r>
      <w:r w:rsidR="008F4282">
        <w:rPr>
          <w:rFonts w:eastAsia="Times New Roman" w:cs="Calibri"/>
        </w:rPr>
        <w:t xml:space="preserve">and next-unit planning </w:t>
      </w:r>
      <w:r w:rsidR="0008226E" w:rsidRPr="0008226E">
        <w:rPr>
          <w:rFonts w:eastAsia="Times New Roman" w:cs="Calibri"/>
        </w:rPr>
        <w:t xml:space="preserve">by using end-of-unit interim assessments (OF learning) for that purpose. </w:t>
      </w:r>
      <w:r w:rsidR="0008226E">
        <w:rPr>
          <w:rFonts w:eastAsia="Times New Roman" w:cs="Calibri"/>
        </w:rPr>
        <w:t>This also means that professional learning should be focused on the use of end-of-unit interim assessment data for effective and appropriate instructional grouping.</w:t>
      </w:r>
      <w:r w:rsidR="008F4282">
        <w:rPr>
          <w:rFonts w:eastAsia="Times New Roman" w:cs="Calibri"/>
        </w:rPr>
        <w:t xml:space="preserve"> The design team focused on this use of interim assessment data for large units (e.g., midterms or monthly tests/papers).</w:t>
      </w:r>
    </w:p>
    <w:p w:rsidR="00290180" w:rsidRDefault="008F4282" w:rsidP="00290180">
      <w:pPr>
        <w:pStyle w:val="ListParagraph"/>
        <w:numPr>
          <w:ilvl w:val="0"/>
          <w:numId w:val="27"/>
        </w:numPr>
        <w:rPr>
          <w:rFonts w:eastAsia="Times New Roman" w:cs="Calibri"/>
        </w:rPr>
      </w:pPr>
      <w:r>
        <w:rPr>
          <w:rFonts w:eastAsia="Times New Roman" w:cs="Calibri"/>
        </w:rPr>
        <w:t>The design team also prioritized using summative assessments covering either marking-period prerequisites or end-of-marking period assessments for coarser-grained instructional programming decisions such as grade or course placement.</w:t>
      </w:r>
    </w:p>
    <w:p w:rsidR="00290180" w:rsidRDefault="00290180" w:rsidP="00290180">
      <w:pPr>
        <w:pStyle w:val="ListParagraph"/>
        <w:numPr>
          <w:ilvl w:val="0"/>
          <w:numId w:val="27"/>
        </w:numPr>
        <w:rPr>
          <w:rFonts w:eastAsia="Times New Roman" w:cs="Calibri"/>
        </w:rPr>
      </w:pPr>
      <w:r>
        <w:rPr>
          <w:rFonts w:eastAsia="Times New Roman" w:cs="Calibri"/>
        </w:rPr>
        <w:lastRenderedPageBreak/>
        <w:t>Similarly, the design team prioritized end-of-large-unit (e.g., midterm) and end-of-marking-period (e.g., end-of-course) assessments for awarding course credit to high school students without taking a course.</w:t>
      </w:r>
    </w:p>
    <w:p w:rsidR="00290180" w:rsidRPr="00290180" w:rsidRDefault="00290180" w:rsidP="00290180">
      <w:pPr>
        <w:pStyle w:val="ListParagraph"/>
        <w:numPr>
          <w:ilvl w:val="0"/>
          <w:numId w:val="27"/>
        </w:numPr>
        <w:rPr>
          <w:rFonts w:eastAsia="Times New Roman" w:cs="Calibri"/>
        </w:rPr>
      </w:pPr>
      <w:r>
        <w:rPr>
          <w:rFonts w:eastAsia="Times New Roman" w:cs="Calibri"/>
        </w:rPr>
        <w:t>The design team prioritized end-of-small-unit interim assessments, (e.g., weekly quizzes and homework) and end-of-large-unit interim assessments (e.g., midterm exams, papers, or project and monthly exams) along with final exams, papers, and projects for grading.</w:t>
      </w:r>
    </w:p>
    <w:p w:rsidR="00290180" w:rsidRDefault="008F4282" w:rsidP="0008226E">
      <w:pPr>
        <w:pStyle w:val="ListParagraph"/>
        <w:numPr>
          <w:ilvl w:val="0"/>
          <w:numId w:val="27"/>
        </w:numPr>
        <w:rPr>
          <w:rFonts w:eastAsia="Times New Roman" w:cs="Calibri"/>
        </w:rPr>
      </w:pPr>
      <w:r>
        <w:rPr>
          <w:rFonts w:eastAsia="Times New Roman" w:cs="Calibri"/>
        </w:rPr>
        <w:t xml:space="preserve">The </w:t>
      </w:r>
      <w:r w:rsidR="00290180">
        <w:rPr>
          <w:rFonts w:eastAsia="Times New Roman" w:cs="Calibri"/>
        </w:rPr>
        <w:t>design team also prioritized screener exams to identify English learners eligible for program services, using the state EL screener exam</w:t>
      </w:r>
    </w:p>
    <w:p w:rsidR="00290180" w:rsidRDefault="00290180" w:rsidP="0008226E">
      <w:pPr>
        <w:pStyle w:val="ListParagraph"/>
        <w:numPr>
          <w:ilvl w:val="0"/>
          <w:numId w:val="27"/>
        </w:numPr>
        <w:rPr>
          <w:rFonts w:eastAsia="Times New Roman" w:cs="Calibri"/>
        </w:rPr>
      </w:pPr>
      <w:r>
        <w:rPr>
          <w:rFonts w:eastAsia="Times New Roman" w:cs="Calibri"/>
        </w:rPr>
        <w:t>The district also prioritized district-selected assessments for identifying students eligible for special education services, as well as for identifying students eligible for the honor roll and other district honors.</w:t>
      </w:r>
    </w:p>
    <w:p w:rsidR="00290180" w:rsidRDefault="00290180" w:rsidP="0008226E">
      <w:pPr>
        <w:pStyle w:val="ListParagraph"/>
        <w:numPr>
          <w:ilvl w:val="0"/>
          <w:numId w:val="27"/>
        </w:numPr>
        <w:rPr>
          <w:rFonts w:eastAsia="Times New Roman" w:cs="Calibri"/>
        </w:rPr>
      </w:pPr>
      <w:r>
        <w:rPr>
          <w:rFonts w:eastAsia="Times New Roman" w:cs="Calibri"/>
        </w:rPr>
        <w:t>The district also prioritized using district selected or developed assessments covering complete marking periods or complete courses of study (e.g., all of high school) for evaluating readiness for college and/or career training, whether students are on or off track for success at the next level, and for evaluating district programs and policies.</w:t>
      </w:r>
    </w:p>
    <w:p w:rsidR="008F4282" w:rsidRPr="0008226E" w:rsidRDefault="00290180" w:rsidP="0008226E">
      <w:pPr>
        <w:pStyle w:val="ListParagraph"/>
        <w:numPr>
          <w:ilvl w:val="0"/>
          <w:numId w:val="27"/>
        </w:numPr>
        <w:rPr>
          <w:rFonts w:eastAsia="Times New Roman" w:cs="Calibri"/>
        </w:rPr>
      </w:pPr>
      <w:r>
        <w:rPr>
          <w:rFonts w:eastAsia="Times New Roman" w:cs="Calibri"/>
        </w:rPr>
        <w:t>Finally, the district determined to use state developed or state selected assessments for measuring student growth for both program and policy evaluation and for teacher evaluation.</w:t>
      </w:r>
      <w:r w:rsidRPr="0008226E">
        <w:rPr>
          <w:rFonts w:eastAsia="Times New Roman" w:cs="Calibri"/>
        </w:rPr>
        <w:t xml:space="preserve"> </w:t>
      </w:r>
    </w:p>
    <w:p w:rsidR="00B92E2E" w:rsidRDefault="00B92E2E" w:rsidP="00B92E2E">
      <w:pPr>
        <w:pStyle w:val="Heading3"/>
        <w:rPr>
          <w:rFonts w:eastAsia="Times New Roman"/>
        </w:rPr>
      </w:pPr>
      <w:r>
        <w:rPr>
          <w:rFonts w:eastAsia="Times New Roman"/>
        </w:rPr>
        <w:lastRenderedPageBreak/>
        <w:t>Design Schematic Resulting from the Project.</w:t>
      </w:r>
    </w:p>
    <w:p w:rsidR="00B92E2E" w:rsidRDefault="00D655AB" w:rsidP="00B92E2E">
      <w:r>
        <w:rPr>
          <w:noProof/>
        </w:rPr>
        <w:drawing>
          <wp:inline distT="0" distB="0" distL="0" distR="0">
            <wp:extent cx="7051040" cy="4712621"/>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Screen Shot 2018-06-29 at 7.03.57 AM.png"/>
                    <pic:cNvPicPr/>
                  </pic:nvPicPr>
                  <pic:blipFill>
                    <a:blip r:embed="rId20">
                      <a:extLst>
                        <a:ext uri="{28A0092B-C50C-407E-A947-70E740481C1C}">
                          <a14:useLocalDpi xmlns:a14="http://schemas.microsoft.com/office/drawing/2010/main" val="0"/>
                        </a:ext>
                      </a:extLst>
                    </a:blip>
                    <a:stretch>
                      <a:fillRect/>
                    </a:stretch>
                  </pic:blipFill>
                  <pic:spPr>
                    <a:xfrm>
                      <a:off x="0" y="0"/>
                      <a:ext cx="7056243" cy="4716098"/>
                    </a:xfrm>
                    <a:prstGeom prst="rect">
                      <a:avLst/>
                    </a:prstGeom>
                  </pic:spPr>
                </pic:pic>
              </a:graphicData>
            </a:graphic>
          </wp:inline>
        </w:drawing>
      </w:r>
    </w:p>
    <w:p w:rsidR="008F3674" w:rsidRDefault="008F3674" w:rsidP="00B92E2E"/>
    <w:p w:rsidR="008F3674" w:rsidRDefault="008F3674" w:rsidP="00B92E2E">
      <w:r>
        <w:t>This figure is helpful to show how the various components of the system are intended to work together and who will be responsible for what. It also makes clear that in order for the system to work as intended, considerable professional learning will be needed, and that that professional learning will need to include a clear and coherent conversation about whether and/or to what degree the learning theories upon which state, district, and teacher work is based are compatible with one another.</w:t>
      </w:r>
    </w:p>
    <w:p w:rsidR="00F7102A" w:rsidRDefault="00F7102A" w:rsidP="00B92E2E"/>
    <w:p w:rsidR="00F7102A" w:rsidRDefault="00F7102A" w:rsidP="00B92E2E">
      <w:r>
        <w:t>Note that it is more helpful to view this schematic in the context of the complete slide deck where the system is built up piece by pieces to show where each set comes from and how it is related to all other pieces that are already displayed.</w:t>
      </w:r>
    </w:p>
    <w:p w:rsidR="00FC28A5" w:rsidRDefault="00FC28A5" w:rsidP="00FC28A5">
      <w:pPr>
        <w:rPr>
          <w:rFonts w:eastAsia="Times New Roman" w:cs="Calibri"/>
        </w:rPr>
        <w:sectPr w:rsidR="00FC28A5" w:rsidSect="00D655AB">
          <w:footerReference w:type="default" r:id="rId21"/>
          <w:pgSz w:w="20160" w:h="12240" w:orient="landscape" w:code="5"/>
          <w:pgMar w:top="720" w:right="720" w:bottom="720" w:left="720" w:header="720" w:footer="720" w:gutter="0"/>
          <w:cols w:space="720"/>
          <w:docGrid w:linePitch="360"/>
        </w:sectPr>
      </w:pPr>
    </w:p>
    <w:p w:rsidR="00FC28A5" w:rsidRDefault="00FC28A5" w:rsidP="00FC28A5">
      <w:pPr>
        <w:pStyle w:val="Heading1"/>
        <w:rPr>
          <w:rFonts w:eastAsia="Times New Roman"/>
        </w:rPr>
      </w:pPr>
      <w:r>
        <w:rPr>
          <w:rFonts w:eastAsia="Times New Roman"/>
        </w:rPr>
        <w:lastRenderedPageBreak/>
        <w:t>Workshop 3</w:t>
      </w:r>
    </w:p>
    <w:p w:rsidR="00FC28A5" w:rsidRDefault="00FC28A5" w:rsidP="00FC28A5">
      <w:pPr>
        <w:rPr>
          <w:rFonts w:eastAsia="Times New Roman" w:cs="Calibri"/>
        </w:rPr>
      </w:pPr>
    </w:p>
    <w:p w:rsidR="00FC28A5" w:rsidRDefault="00FC28A5" w:rsidP="00FC28A5">
      <w:pPr>
        <w:rPr>
          <w:rFonts w:eastAsia="Times New Roman" w:cs="Calibri"/>
        </w:rPr>
      </w:pPr>
      <w:r>
        <w:rPr>
          <w:rFonts w:eastAsia="Times New Roman" w:cs="Calibri"/>
        </w:rPr>
        <w:t xml:space="preserve">In Workshop 3, the </w:t>
      </w:r>
      <w:r w:rsidR="00B92E2E">
        <w:rPr>
          <w:rFonts w:eastAsia="Times New Roman" w:cs="Calibri"/>
        </w:rPr>
        <w:t>Design Team reviewed the narrative and graphical vignettes of the district assessment system described by the design matrix developed in Workshop 2. The Design Team reviewed both products</w:t>
      </w:r>
      <w:r w:rsidR="00B30A98">
        <w:rPr>
          <w:rFonts w:eastAsia="Times New Roman" w:cs="Calibri"/>
        </w:rPr>
        <w:t xml:space="preserve"> and finalized them for inclusion in this report.</w:t>
      </w:r>
    </w:p>
    <w:p w:rsidR="00B30A98" w:rsidRDefault="00B30A98" w:rsidP="00FC28A5">
      <w:pPr>
        <w:rPr>
          <w:rFonts w:eastAsia="Times New Roman" w:cs="Calibri"/>
        </w:rPr>
      </w:pPr>
    </w:p>
    <w:p w:rsidR="00B30A98" w:rsidRDefault="00B30A98" w:rsidP="00FC28A5">
      <w:pPr>
        <w:rPr>
          <w:rFonts w:eastAsia="Times New Roman" w:cs="Calibri"/>
        </w:rPr>
      </w:pPr>
      <w:r>
        <w:rPr>
          <w:rFonts w:eastAsia="Times New Roman" w:cs="Calibri"/>
        </w:rPr>
        <w:t>The Design Team also reviewed a comparison between the existing district assessment system as described by the assessment audit and the new design resulting from Workshop 2. The difference is shown in the figure on the following page.</w:t>
      </w:r>
    </w:p>
    <w:p w:rsidR="00B30A98" w:rsidRDefault="00B30A98" w:rsidP="00FC28A5">
      <w:pPr>
        <w:rPr>
          <w:rFonts w:eastAsia="Times New Roman" w:cs="Calibri"/>
        </w:rPr>
      </w:pPr>
    </w:p>
    <w:p w:rsidR="00B30A98" w:rsidRDefault="00B30A98" w:rsidP="00FC28A5">
      <w:pPr>
        <w:rPr>
          <w:rFonts w:eastAsia="Times New Roman" w:cs="Calibri"/>
        </w:rPr>
      </w:pPr>
      <w:r>
        <w:rPr>
          <w:rFonts w:eastAsia="Times New Roman" w:cs="Calibri"/>
        </w:rPr>
        <w:t>The Design Team also began the process of identifying potential barriers to implementing the new system design, identifying potential strategies to address the potential barriers, and began the process of planning the next steps, which include the following:</w:t>
      </w:r>
    </w:p>
    <w:p w:rsidR="00B30A98" w:rsidRDefault="00B30A98" w:rsidP="00FC28A5">
      <w:pPr>
        <w:rPr>
          <w:rFonts w:eastAsia="Times New Roman" w:cs="Calibri"/>
        </w:rPr>
      </w:pPr>
    </w:p>
    <w:p w:rsidR="00B30A98" w:rsidRDefault="00B30A98" w:rsidP="00B30A98">
      <w:pPr>
        <w:pStyle w:val="ListParagraph"/>
        <w:numPr>
          <w:ilvl w:val="0"/>
          <w:numId w:val="26"/>
        </w:numPr>
        <w:rPr>
          <w:rFonts w:eastAsia="Times New Roman" w:cs="Calibri"/>
        </w:rPr>
      </w:pPr>
      <w:r>
        <w:rPr>
          <w:rFonts w:eastAsia="Times New Roman" w:cs="Calibri"/>
        </w:rPr>
        <w:t>Developing a timeline for implementation</w:t>
      </w:r>
    </w:p>
    <w:p w:rsidR="00B30A98" w:rsidRDefault="00B30A98" w:rsidP="00B30A98">
      <w:pPr>
        <w:pStyle w:val="ListParagraph"/>
        <w:numPr>
          <w:ilvl w:val="0"/>
          <w:numId w:val="26"/>
        </w:numPr>
        <w:rPr>
          <w:rFonts w:eastAsia="Times New Roman" w:cs="Calibri"/>
        </w:rPr>
      </w:pPr>
      <w:r>
        <w:rPr>
          <w:rFonts w:eastAsia="Times New Roman" w:cs="Calibri"/>
        </w:rPr>
        <w:t>Identifying who will be responsible for selecting and/or developing assessments that meet the design criteria from the project.</w:t>
      </w:r>
    </w:p>
    <w:p w:rsidR="00B30A98" w:rsidRDefault="00B30A98" w:rsidP="00B30A98">
      <w:pPr>
        <w:pStyle w:val="ListParagraph"/>
        <w:numPr>
          <w:ilvl w:val="0"/>
          <w:numId w:val="26"/>
        </w:numPr>
        <w:rPr>
          <w:rFonts w:eastAsia="Times New Roman" w:cs="Calibri"/>
        </w:rPr>
      </w:pPr>
      <w:r>
        <w:rPr>
          <w:rFonts w:eastAsia="Times New Roman" w:cs="Calibri"/>
        </w:rPr>
        <w:t>Identifying the professional learning needed to implement the new system at the classroom, school, and district level in a way that is consistent with the narrative and graphical vignettes described in this report.</w:t>
      </w:r>
    </w:p>
    <w:p w:rsidR="00673E79" w:rsidRDefault="00673E79" w:rsidP="00B30A98">
      <w:pPr>
        <w:pStyle w:val="ListParagraph"/>
        <w:numPr>
          <w:ilvl w:val="0"/>
          <w:numId w:val="26"/>
        </w:numPr>
        <w:rPr>
          <w:rFonts w:eastAsia="Times New Roman" w:cs="Calibri"/>
        </w:rPr>
      </w:pPr>
      <w:r>
        <w:rPr>
          <w:rFonts w:eastAsia="Times New Roman" w:cs="Calibri"/>
        </w:rPr>
        <w:t>Identifying who will be responsible for identifying and coordinating the needed professional learning activities.</w:t>
      </w:r>
    </w:p>
    <w:p w:rsidR="00673E79" w:rsidRDefault="00673E79" w:rsidP="00B30A98">
      <w:pPr>
        <w:pStyle w:val="ListParagraph"/>
        <w:numPr>
          <w:ilvl w:val="0"/>
          <w:numId w:val="26"/>
        </w:numPr>
        <w:rPr>
          <w:rFonts w:eastAsia="Times New Roman" w:cs="Calibri"/>
        </w:rPr>
      </w:pPr>
      <w:r>
        <w:rPr>
          <w:rFonts w:eastAsia="Times New Roman" w:cs="Calibri"/>
        </w:rPr>
        <w:t>Developing a plan to periodically check in on progress toward implementation (and, when necessary, reviewing implementation for quality and consistency with the high-level design criteria identified in this project).</w:t>
      </w:r>
    </w:p>
    <w:p w:rsidR="00673E79" w:rsidRPr="00B30A98" w:rsidRDefault="00673E79" w:rsidP="00B30A98">
      <w:pPr>
        <w:pStyle w:val="ListParagraph"/>
        <w:numPr>
          <w:ilvl w:val="0"/>
          <w:numId w:val="26"/>
        </w:numPr>
        <w:rPr>
          <w:rFonts w:eastAsia="Times New Roman" w:cs="Calibri"/>
        </w:rPr>
      </w:pPr>
    </w:p>
    <w:p w:rsidR="00FC28A5" w:rsidRDefault="00FC28A5" w:rsidP="00FC28A5">
      <w:pPr>
        <w:rPr>
          <w:rFonts w:eastAsia="Times New Roman" w:cs="Calibri"/>
        </w:rPr>
      </w:pPr>
    </w:p>
    <w:p w:rsidR="00B30A98" w:rsidRDefault="00B30A98" w:rsidP="00FC28A5">
      <w:pPr>
        <w:rPr>
          <w:rFonts w:eastAsia="Times New Roman" w:cs="Calibri"/>
        </w:rPr>
        <w:sectPr w:rsidR="00B30A98" w:rsidSect="003D10C0">
          <w:footerReference w:type="default" r:id="rId22"/>
          <w:pgSz w:w="12240" w:h="15840"/>
          <w:pgMar w:top="1440" w:right="1440" w:bottom="1440" w:left="1440" w:header="720" w:footer="720" w:gutter="0"/>
          <w:cols w:space="720"/>
          <w:docGrid w:linePitch="360"/>
        </w:sectPr>
      </w:pPr>
    </w:p>
    <w:p w:rsidR="00B30A98" w:rsidRDefault="00B30A98" w:rsidP="00FC28A5">
      <w:pPr>
        <w:rPr>
          <w:rFonts w:eastAsia="Times New Roman" w:cs="Calibri"/>
        </w:rPr>
      </w:pPr>
    </w:p>
    <w:p w:rsidR="00B30A98" w:rsidRDefault="00B30A98" w:rsidP="00FC28A5">
      <w:pPr>
        <w:rPr>
          <w:rFonts w:eastAsia="Times New Roman" w:cs="Calibri"/>
        </w:rPr>
      </w:pPr>
    </w:p>
    <w:p w:rsidR="00B30A98" w:rsidRDefault="00B30A98" w:rsidP="00FC28A5">
      <w:pPr>
        <w:rPr>
          <w:rFonts w:eastAsia="Times New Roman" w:cs="Calibri"/>
        </w:rPr>
      </w:pPr>
    </w:p>
    <w:p w:rsidR="00B30A98" w:rsidRDefault="00B30A98" w:rsidP="00FC28A5">
      <w:pPr>
        <w:rPr>
          <w:rFonts w:eastAsia="Times New Roman" w:cs="Calibri"/>
        </w:rPr>
        <w:sectPr w:rsidR="00B30A98" w:rsidSect="00B30A98">
          <w:pgSz w:w="15840" w:h="12240" w:orient="landscape"/>
          <w:pgMar w:top="720" w:right="720" w:bottom="720" w:left="720" w:header="720" w:footer="720" w:gutter="0"/>
          <w:cols w:space="720"/>
          <w:docGrid w:linePitch="360"/>
        </w:sectPr>
      </w:pPr>
    </w:p>
    <w:p w:rsidR="00FC28A5" w:rsidRDefault="00FC28A5" w:rsidP="00FC28A5">
      <w:pPr>
        <w:rPr>
          <w:rFonts w:eastAsia="Times New Roman" w:cs="Calibri"/>
        </w:rPr>
      </w:pPr>
    </w:p>
    <w:p w:rsidR="00FC28A5" w:rsidRDefault="00FC28A5" w:rsidP="00FC28A5">
      <w:pPr>
        <w:pStyle w:val="Heading1"/>
        <w:rPr>
          <w:rFonts w:eastAsia="Times New Roman"/>
        </w:rPr>
      </w:pPr>
      <w:r>
        <w:rPr>
          <w:rFonts w:eastAsia="Times New Roman"/>
        </w:rPr>
        <w:t>Appendix A – Members of the District Assessment Design Team</w:t>
      </w:r>
    </w:p>
    <w:p w:rsidR="00FC28A5" w:rsidRDefault="00FC28A5" w:rsidP="00FC28A5">
      <w:pPr>
        <w:rPr>
          <w:rFonts w:asciiTheme="minorHAnsi" w:eastAsia="Times New Roman" w:hAnsiTheme="minorHAnsi" w:cstheme="minorHAnsi"/>
          <w:b/>
          <w:sz w:val="20"/>
          <w:szCs w:val="20"/>
        </w:rPr>
      </w:pPr>
    </w:p>
    <w:p w:rsidR="00FC28A5" w:rsidRDefault="00FC28A5" w:rsidP="00FC28A5">
      <w:pPr>
        <w:rPr>
          <w:rFonts w:eastAsia="Times New Roman" w:cstheme="minorHAnsi"/>
          <w:szCs w:val="20"/>
        </w:rPr>
      </w:pPr>
      <w:r>
        <w:rPr>
          <w:rFonts w:eastAsia="Times New Roman" w:cstheme="minorHAnsi"/>
          <w:szCs w:val="20"/>
        </w:rPr>
        <w:t>All members of the District Assessment System Design Team are listed in the table shown below, demonstrating the diversity of roles represented by the team membership.</w:t>
      </w:r>
    </w:p>
    <w:p w:rsidR="00FC28A5" w:rsidRDefault="00FC28A5" w:rsidP="00FC28A5">
      <w:pPr>
        <w:rPr>
          <w:rFonts w:eastAsia="Times New Roman" w:cstheme="minorHAnsi"/>
          <w:szCs w:val="20"/>
        </w:rPr>
      </w:pPr>
    </w:p>
    <w:p w:rsidR="00FC28A5" w:rsidRPr="00A11FBF" w:rsidRDefault="00FC28A5" w:rsidP="00FC28A5">
      <w:pPr>
        <w:rPr>
          <w:rFonts w:asciiTheme="minorHAnsi" w:eastAsia="Times New Roman" w:hAnsiTheme="minorHAnsi" w:cstheme="minorHAnsi"/>
          <w:b/>
          <w:sz w:val="20"/>
          <w:szCs w:val="20"/>
          <w:highlight w:val="cyan"/>
        </w:rPr>
      </w:pPr>
      <w:r w:rsidRPr="00A11FBF">
        <w:rPr>
          <w:rFonts w:asciiTheme="minorHAnsi" w:eastAsia="Times New Roman" w:hAnsiTheme="minorHAnsi" w:cstheme="minorHAnsi"/>
          <w:b/>
          <w:sz w:val="20"/>
          <w:szCs w:val="20"/>
          <w:highlight w:val="cyan"/>
        </w:rPr>
        <w:t>&lt; INSTRUCTIONS (TO BE DELETED)</w:t>
      </w:r>
    </w:p>
    <w:p w:rsidR="00FC28A5" w:rsidRPr="00A11FBF" w:rsidRDefault="00FC28A5" w:rsidP="00FC28A5">
      <w:pPr>
        <w:rPr>
          <w:rFonts w:asciiTheme="minorHAnsi" w:eastAsia="Times New Roman" w:hAnsiTheme="minorHAnsi" w:cstheme="minorHAnsi"/>
          <w:sz w:val="20"/>
          <w:szCs w:val="20"/>
          <w:highlight w:val="cyan"/>
        </w:rPr>
      </w:pPr>
      <w:r w:rsidRPr="00A11FBF">
        <w:rPr>
          <w:rFonts w:asciiTheme="minorHAnsi" w:eastAsia="Times New Roman" w:hAnsiTheme="minorHAnsi" w:cstheme="minorHAnsi"/>
          <w:sz w:val="20"/>
          <w:szCs w:val="20"/>
          <w:highlight w:val="cyan"/>
        </w:rPr>
        <w:t xml:space="preserve">Groups that could be named in the right column include but are not limited to district leadership; central office staff; school administrators; kindergarten teachers, first grade-teachers, …, middle school teachers, high school teachers; special education teachers, Title I teachers, English learner teachers, career and technical teachers, mathematics teachers, English teachers, social studies teachers, science teachers, performing arts teachers, fine arts teachers, P.E. teachers, school counselors, school psychologists) </w:t>
      </w:r>
    </w:p>
    <w:p w:rsidR="00FC28A5" w:rsidRPr="00A11FBF" w:rsidRDefault="00FC28A5" w:rsidP="00FC28A5">
      <w:pPr>
        <w:rPr>
          <w:rFonts w:asciiTheme="minorHAnsi" w:eastAsia="Times New Roman" w:hAnsiTheme="minorHAnsi" w:cstheme="minorHAnsi"/>
          <w:sz w:val="20"/>
          <w:szCs w:val="20"/>
          <w:highlight w:val="cyan"/>
        </w:rPr>
      </w:pPr>
    </w:p>
    <w:p w:rsidR="00FC28A5" w:rsidRPr="00AA56AA" w:rsidRDefault="00FC28A5" w:rsidP="00FC28A5">
      <w:pPr>
        <w:rPr>
          <w:rFonts w:asciiTheme="minorHAnsi" w:eastAsia="Times New Roman" w:hAnsiTheme="minorHAnsi" w:cstheme="minorHAnsi"/>
          <w:sz w:val="20"/>
          <w:szCs w:val="20"/>
        </w:rPr>
      </w:pPr>
      <w:r w:rsidRPr="00A11FBF">
        <w:rPr>
          <w:rFonts w:asciiTheme="minorHAnsi" w:eastAsia="Times New Roman" w:hAnsiTheme="minorHAnsi" w:cstheme="minorHAnsi"/>
          <w:sz w:val="20"/>
          <w:szCs w:val="20"/>
          <w:highlight w:val="cyan"/>
        </w:rPr>
        <w:t>Make sure to include the District Liaison in the table &gt;</w:t>
      </w:r>
    </w:p>
    <w:p w:rsidR="00FC28A5" w:rsidRPr="00AA56AA" w:rsidRDefault="00FC28A5" w:rsidP="00FC28A5">
      <w:pPr>
        <w:rPr>
          <w:rFonts w:eastAsia="Times New Roman" w:cstheme="minorHAnsi"/>
          <w:szCs w:val="20"/>
        </w:rPr>
      </w:pPr>
    </w:p>
    <w:tbl>
      <w:tblPr>
        <w:tblW w:w="5000" w:type="pct"/>
        <w:tblBorders>
          <w:top w:val="single" w:sz="12" w:space="0" w:color="4472C4" w:themeColor="accent1"/>
          <w:left w:val="single" w:sz="12" w:space="0" w:color="4472C4" w:themeColor="accent1"/>
          <w:bottom w:val="single" w:sz="12" w:space="0" w:color="4472C4" w:themeColor="accent1"/>
          <w:right w:val="single" w:sz="12" w:space="0" w:color="4472C4" w:themeColor="accent1"/>
        </w:tblBorders>
        <w:tblCellMar>
          <w:left w:w="58" w:type="dxa"/>
          <w:right w:w="58" w:type="dxa"/>
        </w:tblCellMar>
        <w:tblLook w:val="04A0" w:firstRow="1" w:lastRow="0" w:firstColumn="1" w:lastColumn="0" w:noHBand="0" w:noVBand="1"/>
      </w:tblPr>
      <w:tblGrid>
        <w:gridCol w:w="2146"/>
        <w:gridCol w:w="2790"/>
        <w:gridCol w:w="4394"/>
      </w:tblGrid>
      <w:tr w:rsidR="00FC28A5" w:rsidRPr="004E77BD" w:rsidTr="00501A0E">
        <w:trPr>
          <w:tblHeader/>
        </w:trPr>
        <w:tc>
          <w:tcPr>
            <w:tcW w:w="1150" w:type="pct"/>
            <w:tcBorders>
              <w:top w:val="single" w:sz="12" w:space="0" w:color="4472C4" w:themeColor="accent1"/>
              <w:bottom w:val="single" w:sz="12" w:space="0" w:color="4472C4" w:themeColor="accent1"/>
              <w:right w:val="single" w:sz="6" w:space="0" w:color="8EAADB" w:themeColor="accent1" w:themeTint="99"/>
            </w:tcBorders>
            <w:shd w:val="clear" w:color="auto" w:fill="D9E2F3" w:themeFill="accent1" w:themeFillTint="33"/>
            <w:noWrap/>
            <w:hideMark/>
          </w:tcPr>
          <w:p w:rsidR="00FC28A5" w:rsidRPr="004E77BD" w:rsidRDefault="00FC28A5" w:rsidP="00501A0E">
            <w:pPr>
              <w:rPr>
                <w:rFonts w:ascii="Calibri" w:eastAsia="Times New Roman" w:hAnsi="Calibri"/>
                <w:b/>
                <w:bCs/>
                <w:color w:val="2F5496" w:themeColor="accent1" w:themeShade="BF"/>
                <w:sz w:val="20"/>
                <w:szCs w:val="20"/>
              </w:rPr>
            </w:pPr>
            <w:r>
              <w:rPr>
                <w:rFonts w:ascii="Calibri" w:eastAsia="Times New Roman" w:hAnsi="Calibri"/>
                <w:b/>
                <w:bCs/>
                <w:color w:val="2F5496" w:themeColor="accent1" w:themeShade="BF"/>
                <w:sz w:val="20"/>
                <w:szCs w:val="20"/>
              </w:rPr>
              <w:t>Team Member Name</w:t>
            </w:r>
          </w:p>
        </w:tc>
        <w:tc>
          <w:tcPr>
            <w:tcW w:w="1495" w:type="pct"/>
            <w:tcBorders>
              <w:top w:val="single" w:sz="12" w:space="0" w:color="4472C4" w:themeColor="accent1"/>
              <w:left w:val="single" w:sz="6" w:space="0" w:color="8EAADB" w:themeColor="accent1" w:themeTint="99"/>
              <w:bottom w:val="single" w:sz="12" w:space="0" w:color="4472C4" w:themeColor="accent1"/>
              <w:right w:val="single" w:sz="6" w:space="0" w:color="8EAADB" w:themeColor="accent1" w:themeTint="99"/>
            </w:tcBorders>
            <w:shd w:val="clear" w:color="auto" w:fill="D9E2F3" w:themeFill="accent1" w:themeFillTint="33"/>
            <w:noWrap/>
            <w:hideMark/>
          </w:tcPr>
          <w:p w:rsidR="00FC28A5" w:rsidRPr="004E77BD" w:rsidRDefault="00FC28A5" w:rsidP="00501A0E">
            <w:pPr>
              <w:rPr>
                <w:rFonts w:ascii="Calibri" w:eastAsia="Times New Roman" w:hAnsi="Calibri"/>
                <w:b/>
                <w:bCs/>
                <w:color w:val="2F5496" w:themeColor="accent1" w:themeShade="BF"/>
                <w:sz w:val="20"/>
                <w:szCs w:val="20"/>
              </w:rPr>
            </w:pPr>
            <w:r>
              <w:rPr>
                <w:rFonts w:ascii="Calibri" w:eastAsia="Times New Roman" w:hAnsi="Calibri"/>
                <w:b/>
                <w:bCs/>
                <w:color w:val="2F5496" w:themeColor="accent1" w:themeShade="BF"/>
                <w:sz w:val="20"/>
                <w:szCs w:val="20"/>
              </w:rPr>
              <w:t>Team Member Title</w:t>
            </w:r>
          </w:p>
        </w:tc>
        <w:tc>
          <w:tcPr>
            <w:tcW w:w="2355" w:type="pct"/>
            <w:tcBorders>
              <w:top w:val="single" w:sz="12" w:space="0" w:color="4472C4" w:themeColor="accent1"/>
              <w:left w:val="single" w:sz="6" w:space="0" w:color="8EAADB" w:themeColor="accent1" w:themeTint="99"/>
              <w:bottom w:val="single" w:sz="12" w:space="0" w:color="4472C4" w:themeColor="accent1"/>
            </w:tcBorders>
            <w:shd w:val="clear" w:color="auto" w:fill="D9E2F3" w:themeFill="accent1" w:themeFillTint="33"/>
            <w:noWrap/>
            <w:hideMark/>
          </w:tcPr>
          <w:p w:rsidR="00FC28A5" w:rsidRPr="004E77BD" w:rsidRDefault="00FC28A5" w:rsidP="00501A0E">
            <w:pPr>
              <w:rPr>
                <w:rFonts w:ascii="Calibri" w:eastAsia="Times New Roman" w:hAnsi="Calibri"/>
                <w:b/>
                <w:bCs/>
                <w:color w:val="2F5496" w:themeColor="accent1" w:themeShade="BF"/>
                <w:sz w:val="20"/>
                <w:szCs w:val="20"/>
              </w:rPr>
            </w:pPr>
            <w:r>
              <w:rPr>
                <w:rFonts w:ascii="Calibri" w:eastAsia="Times New Roman" w:hAnsi="Calibri"/>
                <w:b/>
                <w:bCs/>
                <w:color w:val="2F5496" w:themeColor="accent1" w:themeShade="BF"/>
                <w:sz w:val="20"/>
                <w:szCs w:val="20"/>
              </w:rPr>
              <w:t>Group(s) the Team Member Represented</w:t>
            </w:r>
          </w:p>
        </w:tc>
      </w:tr>
      <w:tr w:rsidR="00FC28A5" w:rsidRPr="004E77BD" w:rsidTr="00501A0E">
        <w:trPr>
          <w:cantSplit/>
        </w:trPr>
        <w:tc>
          <w:tcPr>
            <w:tcW w:w="1150" w:type="pct"/>
            <w:tcBorders>
              <w:top w:val="single" w:sz="12" w:space="0" w:color="4472C4" w:themeColor="accent1"/>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7102A" w:rsidP="00501A0E">
            <w:pPr>
              <w:rPr>
                <w:rFonts w:ascii="Calibri" w:eastAsia="Times New Roman" w:hAnsi="Calibri"/>
                <w:color w:val="4472C4" w:themeColor="accent1"/>
                <w:sz w:val="20"/>
                <w:szCs w:val="20"/>
              </w:rPr>
            </w:pPr>
            <w:r>
              <w:rPr>
                <w:rFonts w:ascii="Calibri" w:eastAsia="Times New Roman" w:hAnsi="Calibri"/>
                <w:color w:val="4472C4" w:themeColor="accent1"/>
                <w:sz w:val="20"/>
                <w:szCs w:val="20"/>
              </w:rPr>
              <w:t>Person A</w:t>
            </w:r>
          </w:p>
        </w:tc>
        <w:tc>
          <w:tcPr>
            <w:tcW w:w="1495" w:type="pct"/>
            <w:tcBorders>
              <w:top w:val="single" w:sz="12" w:space="0" w:color="4472C4" w:themeColor="accent1"/>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7102A" w:rsidP="00501A0E">
            <w:pPr>
              <w:rPr>
                <w:rFonts w:ascii="Calibri" w:eastAsia="Times New Roman" w:hAnsi="Calibri"/>
                <w:color w:val="4472C4" w:themeColor="accent1"/>
                <w:sz w:val="20"/>
                <w:szCs w:val="20"/>
              </w:rPr>
            </w:pPr>
            <w:r>
              <w:rPr>
                <w:rFonts w:ascii="Calibri" w:eastAsia="Times New Roman" w:hAnsi="Calibri"/>
                <w:color w:val="4472C4" w:themeColor="accent1"/>
                <w:sz w:val="20"/>
                <w:szCs w:val="20"/>
              </w:rPr>
              <w:t>Title A</w:t>
            </w:r>
          </w:p>
        </w:tc>
        <w:tc>
          <w:tcPr>
            <w:tcW w:w="2355" w:type="pct"/>
            <w:tcBorders>
              <w:top w:val="single" w:sz="12" w:space="0" w:color="4472C4" w:themeColor="accent1"/>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F7102A" w:rsidRDefault="00F7102A" w:rsidP="00501A0E">
            <w:pPr>
              <w:rPr>
                <w:rFonts w:ascii="Calibri" w:eastAsia="Times New Roman" w:hAnsi="Calibri"/>
                <w:color w:val="4472C4" w:themeColor="accent1"/>
                <w:sz w:val="20"/>
                <w:szCs w:val="20"/>
              </w:rPr>
            </w:pPr>
            <w:r w:rsidRPr="00F7102A">
              <w:rPr>
                <w:rFonts w:ascii="Calibri" w:eastAsia="Times New Roman" w:hAnsi="Calibri"/>
                <w:color w:val="4472C4" w:themeColor="accent1"/>
                <w:sz w:val="20"/>
                <w:szCs w:val="20"/>
              </w:rPr>
              <w:t>Teacher, English, Grade 4</w:t>
            </w: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7102A" w:rsidP="00501A0E">
            <w:pPr>
              <w:rPr>
                <w:rFonts w:ascii="Calibri" w:eastAsia="Times New Roman" w:hAnsi="Calibri"/>
                <w:color w:val="4472C4" w:themeColor="accent1"/>
                <w:sz w:val="20"/>
                <w:szCs w:val="20"/>
              </w:rPr>
            </w:pPr>
            <w:r>
              <w:rPr>
                <w:rFonts w:ascii="Calibri" w:eastAsia="Times New Roman" w:hAnsi="Calibri"/>
                <w:color w:val="4472C4" w:themeColor="accent1"/>
                <w:sz w:val="20"/>
                <w:szCs w:val="20"/>
              </w:rPr>
              <w:t>Person B</w:t>
            </w: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7102A" w:rsidP="00501A0E">
            <w:pPr>
              <w:rPr>
                <w:rFonts w:ascii="Calibri" w:eastAsia="Times New Roman" w:hAnsi="Calibri"/>
                <w:color w:val="4472C4" w:themeColor="accent1"/>
                <w:sz w:val="20"/>
                <w:szCs w:val="20"/>
              </w:rPr>
            </w:pPr>
            <w:r>
              <w:rPr>
                <w:rFonts w:ascii="Calibri" w:eastAsia="Times New Roman" w:hAnsi="Calibri"/>
                <w:color w:val="4472C4" w:themeColor="accent1"/>
                <w:sz w:val="20"/>
                <w:szCs w:val="20"/>
              </w:rPr>
              <w:t>Title B</w:t>
            </w: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7102A" w:rsidRPr="00F7102A" w:rsidRDefault="00F7102A" w:rsidP="00501A0E">
            <w:pPr>
              <w:rPr>
                <w:rFonts w:ascii="Calibri" w:eastAsia="Times New Roman" w:hAnsi="Calibri"/>
                <w:color w:val="4472C4" w:themeColor="accent1"/>
                <w:sz w:val="20"/>
                <w:szCs w:val="20"/>
              </w:rPr>
            </w:pPr>
            <w:r w:rsidRPr="00F7102A">
              <w:rPr>
                <w:rFonts w:ascii="Calibri" w:eastAsia="Times New Roman" w:hAnsi="Calibri"/>
                <w:color w:val="4472C4" w:themeColor="accent1"/>
                <w:sz w:val="20"/>
                <w:szCs w:val="20"/>
              </w:rPr>
              <w:t>Principal, Middle School</w:t>
            </w: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7102A" w:rsidP="00501A0E">
            <w:pPr>
              <w:rPr>
                <w:rFonts w:ascii="Calibri" w:eastAsia="Times New Roman" w:hAnsi="Calibri"/>
                <w:color w:val="4472C4" w:themeColor="accent1"/>
                <w:sz w:val="20"/>
                <w:szCs w:val="20"/>
              </w:rPr>
            </w:pPr>
            <w:r>
              <w:rPr>
                <w:rFonts w:ascii="Calibri" w:eastAsia="Times New Roman" w:hAnsi="Calibri"/>
                <w:color w:val="4472C4" w:themeColor="accent1"/>
                <w:sz w:val="20"/>
                <w:szCs w:val="20"/>
              </w:rPr>
              <w:t>Person C</w:t>
            </w: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7102A" w:rsidP="00501A0E">
            <w:pPr>
              <w:rPr>
                <w:rFonts w:ascii="Calibri" w:eastAsia="Times New Roman" w:hAnsi="Calibri"/>
                <w:color w:val="4472C4" w:themeColor="accent1"/>
                <w:sz w:val="20"/>
                <w:szCs w:val="20"/>
              </w:rPr>
            </w:pPr>
            <w:r>
              <w:rPr>
                <w:rFonts w:ascii="Calibri" w:eastAsia="Times New Roman" w:hAnsi="Calibri"/>
                <w:color w:val="4472C4" w:themeColor="accent1"/>
                <w:sz w:val="20"/>
                <w:szCs w:val="20"/>
              </w:rPr>
              <w:t>Title C</w:t>
            </w: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F7102A" w:rsidRDefault="00F7102A" w:rsidP="00501A0E">
            <w:pPr>
              <w:rPr>
                <w:rFonts w:ascii="Calibri" w:eastAsia="Times New Roman" w:hAnsi="Calibri"/>
                <w:color w:val="4472C4" w:themeColor="accent1"/>
                <w:sz w:val="20"/>
                <w:szCs w:val="20"/>
              </w:rPr>
            </w:pPr>
            <w:r w:rsidRPr="00F7102A">
              <w:rPr>
                <w:rFonts w:ascii="Calibri" w:eastAsia="Times New Roman" w:hAnsi="Calibri"/>
                <w:color w:val="4472C4" w:themeColor="accent1"/>
                <w:sz w:val="20"/>
                <w:szCs w:val="20"/>
              </w:rPr>
              <w:t>Central Office, Assessment</w:t>
            </w: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7102A" w:rsidP="00501A0E">
            <w:pPr>
              <w:rPr>
                <w:rFonts w:ascii="Calibri" w:eastAsia="Times New Roman" w:hAnsi="Calibri"/>
                <w:color w:val="4472C4" w:themeColor="accent1"/>
                <w:sz w:val="20"/>
                <w:szCs w:val="20"/>
              </w:rPr>
            </w:pPr>
            <w:r>
              <w:rPr>
                <w:rFonts w:ascii="Calibri" w:eastAsia="Times New Roman" w:hAnsi="Calibri"/>
                <w:color w:val="4472C4" w:themeColor="accent1"/>
                <w:sz w:val="20"/>
                <w:szCs w:val="20"/>
              </w:rPr>
              <w:t>…</w:t>
            </w: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7102A" w:rsidP="00501A0E">
            <w:pPr>
              <w:rPr>
                <w:rFonts w:ascii="Calibri" w:eastAsia="Times New Roman" w:hAnsi="Calibri"/>
                <w:color w:val="4472C4" w:themeColor="accent1"/>
                <w:sz w:val="20"/>
                <w:szCs w:val="20"/>
              </w:rPr>
            </w:pPr>
            <w:r>
              <w:rPr>
                <w:rFonts w:ascii="Calibri" w:eastAsia="Times New Roman" w:hAnsi="Calibri"/>
                <w:color w:val="4472C4" w:themeColor="accent1"/>
                <w:sz w:val="20"/>
                <w:szCs w:val="20"/>
              </w:rPr>
              <w:t>…</w:t>
            </w: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F7102A" w:rsidRDefault="00FC28A5" w:rsidP="00501A0E">
            <w:pPr>
              <w:rPr>
                <w:rFonts w:ascii="Calibri" w:eastAsia="Times New Roman" w:hAnsi="Calibri"/>
                <w:color w:val="4472C4" w:themeColor="accent1"/>
                <w:sz w:val="20"/>
                <w:szCs w:val="20"/>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7102A" w:rsidP="00501A0E">
            <w:pPr>
              <w:rPr>
                <w:rFonts w:ascii="Calibri" w:eastAsia="Times New Roman" w:hAnsi="Calibri"/>
                <w:color w:val="4472C4" w:themeColor="accent1"/>
                <w:sz w:val="20"/>
                <w:szCs w:val="20"/>
              </w:rPr>
            </w:pPr>
            <w:r>
              <w:rPr>
                <w:rFonts w:ascii="Calibri" w:eastAsia="Times New Roman" w:hAnsi="Calibri"/>
                <w:color w:val="4472C4" w:themeColor="accent1"/>
                <w:sz w:val="20"/>
                <w:szCs w:val="20"/>
              </w:rPr>
              <w:t>Person Y</w:t>
            </w: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7102A" w:rsidP="00501A0E">
            <w:pPr>
              <w:rPr>
                <w:rFonts w:ascii="Calibri" w:eastAsia="Times New Roman" w:hAnsi="Calibri"/>
                <w:color w:val="4472C4" w:themeColor="accent1"/>
                <w:sz w:val="20"/>
                <w:szCs w:val="20"/>
              </w:rPr>
            </w:pPr>
            <w:r>
              <w:rPr>
                <w:rFonts w:ascii="Calibri" w:eastAsia="Times New Roman" w:hAnsi="Calibri"/>
                <w:color w:val="4472C4" w:themeColor="accent1"/>
                <w:sz w:val="20"/>
                <w:szCs w:val="20"/>
              </w:rPr>
              <w:t>Title Y</w:t>
            </w: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F7102A" w:rsidRDefault="00F7102A" w:rsidP="00501A0E">
            <w:pPr>
              <w:rPr>
                <w:rFonts w:ascii="Calibri" w:eastAsia="Times New Roman" w:hAnsi="Calibri"/>
                <w:color w:val="4472C4" w:themeColor="accent1"/>
                <w:sz w:val="20"/>
                <w:szCs w:val="20"/>
              </w:rPr>
            </w:pPr>
            <w:r w:rsidRPr="00F7102A">
              <w:rPr>
                <w:rFonts w:ascii="Calibri" w:eastAsia="Times New Roman" w:hAnsi="Calibri"/>
                <w:color w:val="4472C4" w:themeColor="accent1"/>
                <w:sz w:val="20"/>
                <w:szCs w:val="20"/>
              </w:rPr>
              <w:t>School Board Member</w:t>
            </w: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F7102A" w:rsidRDefault="00FC28A5" w:rsidP="00501A0E">
            <w:pPr>
              <w:rPr>
                <w:rFonts w:ascii="Calibri" w:eastAsia="Times New Roman" w:hAnsi="Calibri"/>
                <w:color w:val="4472C4" w:themeColor="accent1"/>
                <w:sz w:val="20"/>
                <w:szCs w:val="20"/>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tcPr>
          <w:p w:rsidR="00FC28A5" w:rsidRPr="007E0609" w:rsidRDefault="00FC28A5" w:rsidP="00501A0E">
            <w:pPr>
              <w:rPr>
                <w:rFonts w:ascii="Calibri" w:eastAsia="Times New Roman" w:hAnsi="Calibri"/>
                <w:color w:val="4472C4" w:themeColor="accent1"/>
                <w:sz w:val="20"/>
                <w:szCs w:val="20"/>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6" w:space="0" w:color="B4C6E7" w:themeColor="accent1" w:themeTint="66"/>
              <w:right w:val="single" w:sz="6" w:space="0" w:color="D9E2F3" w:themeColor="accent1" w:themeTint="33"/>
            </w:tcBorders>
            <w:shd w:val="clear" w:color="auto" w:fill="auto"/>
            <w:hideMark/>
          </w:tcPr>
          <w:p w:rsidR="00FC28A5" w:rsidRPr="007E0609" w:rsidRDefault="00FC28A5" w:rsidP="00501A0E">
            <w:pPr>
              <w:pStyle w:val="Spacer"/>
              <w:rPr>
                <w:rFonts w:asciiTheme="minorHAnsi" w:hAnsiTheme="minorHAnsi"/>
                <w:color w:val="4472C4" w:themeColor="accent1"/>
                <w:sz w:val="20"/>
                <w:szCs w:val="20"/>
                <w:lang w:eastAsia="en-US"/>
              </w:rPr>
            </w:pPr>
          </w:p>
        </w:tc>
        <w:tc>
          <w:tcPr>
            <w:tcW w:w="1495" w:type="pct"/>
            <w:tcBorders>
              <w:top w:val="single" w:sz="6" w:space="0" w:color="B4C6E7" w:themeColor="accent1" w:themeTint="66"/>
              <w:left w:val="single" w:sz="6" w:space="0" w:color="D9E2F3" w:themeColor="accent1" w:themeTint="33"/>
              <w:bottom w:val="single" w:sz="6" w:space="0" w:color="B4C6E7" w:themeColor="accent1" w:themeTint="66"/>
              <w:right w:val="single" w:sz="6" w:space="0" w:color="D9E2F3" w:themeColor="accent1" w:themeTint="33"/>
            </w:tcBorders>
            <w:shd w:val="clear" w:color="auto" w:fill="auto"/>
            <w:hideMark/>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6" w:space="0" w:color="B4C6E7" w:themeColor="accent1" w:themeTint="66"/>
              <w:right w:val="single" w:sz="12" w:space="0" w:color="4472C4" w:themeColor="accent1"/>
            </w:tcBorders>
            <w:shd w:val="clear" w:color="auto" w:fill="auto"/>
            <w:hideMark/>
          </w:tcPr>
          <w:p w:rsidR="00FC28A5" w:rsidRPr="00E40EAF" w:rsidRDefault="00FC28A5" w:rsidP="00501A0E">
            <w:pPr>
              <w:rPr>
                <w:rFonts w:ascii="Calibri" w:eastAsia="Times New Roman" w:hAnsi="Calibri"/>
                <w:color w:val="4472C4" w:themeColor="accent1"/>
                <w:sz w:val="20"/>
                <w:szCs w:val="20"/>
                <w:highlight w:val="yellow"/>
              </w:rPr>
            </w:pPr>
          </w:p>
        </w:tc>
      </w:tr>
      <w:tr w:rsidR="00FC28A5" w:rsidRPr="004E77BD" w:rsidTr="00501A0E">
        <w:trPr>
          <w:cantSplit/>
        </w:trPr>
        <w:tc>
          <w:tcPr>
            <w:tcW w:w="1150" w:type="pct"/>
            <w:tcBorders>
              <w:top w:val="single" w:sz="6" w:space="0" w:color="B4C6E7" w:themeColor="accent1" w:themeTint="66"/>
              <w:left w:val="single" w:sz="12" w:space="0" w:color="4472C4" w:themeColor="accent1"/>
              <w:bottom w:val="single" w:sz="12" w:space="0" w:color="4472C4" w:themeColor="accent1"/>
              <w:right w:val="single" w:sz="6" w:space="0" w:color="D9E2F3" w:themeColor="accent1" w:themeTint="33"/>
            </w:tcBorders>
            <w:shd w:val="clear" w:color="auto" w:fill="auto"/>
          </w:tcPr>
          <w:p w:rsidR="00FC28A5" w:rsidRPr="007E0609" w:rsidRDefault="00FC28A5" w:rsidP="00501A0E">
            <w:pPr>
              <w:pStyle w:val="Spacer"/>
              <w:rPr>
                <w:rFonts w:asciiTheme="minorHAnsi" w:hAnsiTheme="minorHAnsi"/>
                <w:color w:val="4472C4" w:themeColor="accent1"/>
                <w:sz w:val="20"/>
                <w:szCs w:val="20"/>
                <w:lang w:eastAsia="en-US"/>
              </w:rPr>
            </w:pPr>
          </w:p>
        </w:tc>
        <w:tc>
          <w:tcPr>
            <w:tcW w:w="1495" w:type="pct"/>
            <w:tcBorders>
              <w:top w:val="single" w:sz="6" w:space="0" w:color="B4C6E7" w:themeColor="accent1" w:themeTint="66"/>
              <w:left w:val="single" w:sz="6" w:space="0" w:color="D9E2F3" w:themeColor="accent1" w:themeTint="33"/>
              <w:bottom w:val="single" w:sz="12" w:space="0" w:color="4472C4" w:themeColor="accent1"/>
              <w:right w:val="single" w:sz="6" w:space="0" w:color="D9E2F3" w:themeColor="accent1" w:themeTint="33"/>
            </w:tcBorders>
            <w:shd w:val="clear" w:color="auto" w:fill="auto"/>
          </w:tcPr>
          <w:p w:rsidR="00FC28A5" w:rsidRPr="004E77BD" w:rsidRDefault="00FC28A5" w:rsidP="00501A0E">
            <w:pPr>
              <w:rPr>
                <w:rFonts w:ascii="Calibri" w:eastAsia="Times New Roman" w:hAnsi="Calibri"/>
                <w:color w:val="4472C4" w:themeColor="accent1"/>
                <w:sz w:val="20"/>
                <w:szCs w:val="20"/>
              </w:rPr>
            </w:pPr>
          </w:p>
        </w:tc>
        <w:tc>
          <w:tcPr>
            <w:tcW w:w="2355" w:type="pct"/>
            <w:tcBorders>
              <w:top w:val="single" w:sz="6" w:space="0" w:color="B4C6E7" w:themeColor="accent1" w:themeTint="66"/>
              <w:left w:val="single" w:sz="6" w:space="0" w:color="D9E2F3" w:themeColor="accent1" w:themeTint="33"/>
              <w:bottom w:val="single" w:sz="12" w:space="0" w:color="4472C4" w:themeColor="accent1"/>
              <w:right w:val="single" w:sz="12" w:space="0" w:color="4472C4" w:themeColor="accent1"/>
            </w:tcBorders>
            <w:shd w:val="clear" w:color="auto" w:fill="auto"/>
          </w:tcPr>
          <w:p w:rsidR="00FC28A5" w:rsidRPr="00E40EAF" w:rsidRDefault="00FC28A5" w:rsidP="00501A0E">
            <w:pPr>
              <w:rPr>
                <w:rFonts w:ascii="Calibri" w:eastAsia="Times New Roman" w:hAnsi="Calibri"/>
                <w:color w:val="4472C4" w:themeColor="accent1"/>
                <w:sz w:val="20"/>
                <w:szCs w:val="20"/>
                <w:highlight w:val="yellow"/>
              </w:rPr>
            </w:pPr>
          </w:p>
        </w:tc>
      </w:tr>
    </w:tbl>
    <w:p w:rsidR="00FC28A5" w:rsidRDefault="00FC28A5" w:rsidP="00FC28A5">
      <w:pPr>
        <w:rPr>
          <w:rFonts w:eastAsia="Times New Roman" w:cs="Calibri"/>
        </w:rPr>
      </w:pPr>
    </w:p>
    <w:p w:rsidR="00FC28A5" w:rsidRPr="00F10C72" w:rsidRDefault="00FC28A5" w:rsidP="00FC28A5">
      <w:pPr>
        <w:rPr>
          <w:rFonts w:eastAsia="Times New Roman" w:cs="Calibri"/>
        </w:rPr>
      </w:pPr>
      <w:r>
        <w:rPr>
          <w:rFonts w:eastAsia="Times New Roman" w:cs="Calibri"/>
        </w:rPr>
        <w:t xml:space="preserve">In addition to participating as a team member </w:t>
      </w:r>
      <w:r w:rsidR="00F7102A">
        <w:rPr>
          <w:rFonts w:eastAsia="Times New Roman" w:cs="Calibri"/>
        </w:rPr>
        <w:t>Rob Anybody</w:t>
      </w:r>
      <w:r>
        <w:rPr>
          <w:rFonts w:eastAsia="Times New Roman" w:cs="Calibri"/>
        </w:rPr>
        <w:t xml:space="preserve"> also served as the District Liaison for this project. Finally, to ensure that all district team members could fully participate in the project, </w:t>
      </w:r>
      <w:r w:rsidR="00F7102A">
        <w:rPr>
          <w:rFonts w:eastAsia="Times New Roman" w:cs="Calibri"/>
        </w:rPr>
        <w:t xml:space="preserve">Barb Somebody </w:t>
      </w:r>
      <w:r>
        <w:rPr>
          <w:rFonts w:eastAsia="Times New Roman" w:cs="Calibri"/>
        </w:rPr>
        <w:t>(</w:t>
      </w:r>
      <w:r w:rsidR="00F7102A">
        <w:rPr>
          <w:rFonts w:eastAsia="Times New Roman" w:cs="Calibri"/>
        </w:rPr>
        <w:t>Independent Consultant</w:t>
      </w:r>
      <w:r>
        <w:rPr>
          <w:rFonts w:eastAsia="Times New Roman" w:cs="Calibri"/>
        </w:rPr>
        <w:t>) served as an external assessment expert to facilitate the work of the district team.</w:t>
      </w:r>
    </w:p>
    <w:p w:rsidR="00F7102A" w:rsidRDefault="00F7102A" w:rsidP="00FC28A5">
      <w:pPr>
        <w:pStyle w:val="Heading1"/>
        <w:rPr>
          <w:rFonts w:eastAsia="Times New Roman"/>
        </w:rPr>
        <w:sectPr w:rsidR="00F7102A" w:rsidSect="00F7102A">
          <w:headerReference w:type="default" r:id="rId23"/>
          <w:footerReference w:type="default" r:id="rId24"/>
          <w:pgSz w:w="12240" w:h="15840"/>
          <w:pgMar w:top="1440" w:right="1440" w:bottom="1440" w:left="1440" w:header="720" w:footer="720" w:gutter="0"/>
          <w:cols w:space="720"/>
          <w:docGrid w:linePitch="360"/>
        </w:sectPr>
      </w:pPr>
    </w:p>
    <w:p w:rsidR="00F7102A" w:rsidRDefault="00F7102A" w:rsidP="00FC28A5">
      <w:pPr>
        <w:pStyle w:val="Heading1"/>
        <w:rPr>
          <w:rFonts w:eastAsia="Times New Roman"/>
        </w:rPr>
      </w:pPr>
    </w:p>
    <w:p w:rsidR="00FC28A5" w:rsidRDefault="00FC28A5" w:rsidP="00FC28A5">
      <w:pPr>
        <w:pStyle w:val="Heading1"/>
        <w:rPr>
          <w:rFonts w:eastAsia="Times New Roman"/>
        </w:rPr>
      </w:pPr>
      <w:r>
        <w:rPr>
          <w:rFonts w:eastAsia="Times New Roman"/>
        </w:rPr>
        <w:t>Appendix B – Key Terms and Definitions</w:t>
      </w:r>
    </w:p>
    <w:p w:rsidR="00FC28A5" w:rsidRDefault="00FC28A5" w:rsidP="00FC28A5">
      <w:pPr>
        <w:rPr>
          <w:rFonts w:eastAsia="Times New Roman"/>
        </w:rPr>
      </w:pPr>
    </w:p>
    <w:tbl>
      <w:tblPr>
        <w:tblStyle w:val="Table-Whole"/>
        <w:tblW w:w="5000" w:type="pct"/>
        <w:tblBorders>
          <w:insideH w:val="single" w:sz="18" w:space="0" w:color="4472C4" w:themeColor="accent1"/>
          <w:insideV w:val="single" w:sz="18" w:space="0" w:color="4472C4" w:themeColor="accent1"/>
        </w:tblBorders>
        <w:tblCellMar>
          <w:top w:w="72" w:type="dxa"/>
          <w:left w:w="101" w:type="dxa"/>
          <w:bottom w:w="72" w:type="dxa"/>
          <w:right w:w="101" w:type="dxa"/>
        </w:tblCellMar>
        <w:tblLook w:val="04A0" w:firstRow="1" w:lastRow="0" w:firstColumn="1" w:lastColumn="0" w:noHBand="0" w:noVBand="1"/>
      </w:tblPr>
      <w:tblGrid>
        <w:gridCol w:w="2048"/>
        <w:gridCol w:w="3741"/>
        <w:gridCol w:w="3913"/>
        <w:gridCol w:w="3932"/>
      </w:tblGrid>
      <w:tr w:rsidR="00F7102A" w:rsidRPr="00D65D35" w:rsidTr="00040ADD">
        <w:tc>
          <w:tcPr>
            <w:tcW w:w="751" w:type="pct"/>
            <w:shd w:val="clear" w:color="auto" w:fill="B4C6E7" w:themeFill="accent1" w:themeFillTint="66"/>
          </w:tcPr>
          <w:p w:rsidR="00F7102A" w:rsidRPr="00D65D35" w:rsidRDefault="00F7102A" w:rsidP="00501A0E">
            <w:pPr>
              <w:pStyle w:val="TableHeader"/>
              <w:keepNext/>
              <w:rPr>
                <w:sz w:val="24"/>
                <w:szCs w:val="24"/>
              </w:rPr>
            </w:pPr>
            <w:r w:rsidRPr="00D65D35">
              <w:rPr>
                <w:sz w:val="24"/>
                <w:szCs w:val="24"/>
              </w:rPr>
              <w:t>Vocabulary Term</w:t>
            </w:r>
          </w:p>
        </w:tc>
        <w:tc>
          <w:tcPr>
            <w:tcW w:w="1372" w:type="pct"/>
            <w:shd w:val="clear" w:color="auto" w:fill="B4C6E7" w:themeFill="accent1" w:themeFillTint="66"/>
          </w:tcPr>
          <w:p w:rsidR="00F7102A" w:rsidRPr="00D65D35" w:rsidRDefault="00F7102A" w:rsidP="00501A0E">
            <w:pPr>
              <w:pStyle w:val="TableHeader"/>
              <w:keepNext/>
              <w:rPr>
                <w:sz w:val="24"/>
                <w:szCs w:val="24"/>
              </w:rPr>
            </w:pPr>
            <w:r w:rsidRPr="00D65D35">
              <w:rPr>
                <w:sz w:val="24"/>
                <w:szCs w:val="24"/>
              </w:rPr>
              <w:t>Definitio</w:t>
            </w:r>
            <w:bookmarkStart w:id="3" w:name="_GoBack"/>
            <w:bookmarkEnd w:id="3"/>
            <w:r w:rsidRPr="00D65D35">
              <w:rPr>
                <w:sz w:val="24"/>
                <w:szCs w:val="24"/>
              </w:rPr>
              <w:t>n</w:t>
            </w:r>
          </w:p>
        </w:tc>
        <w:tc>
          <w:tcPr>
            <w:tcW w:w="1435" w:type="pct"/>
            <w:shd w:val="clear" w:color="auto" w:fill="B4C6E7" w:themeFill="accent1" w:themeFillTint="66"/>
          </w:tcPr>
          <w:p w:rsidR="00F7102A" w:rsidRPr="00D65D35" w:rsidRDefault="00F7102A" w:rsidP="00501A0E">
            <w:pPr>
              <w:pStyle w:val="TableHeader"/>
              <w:keepNext/>
              <w:rPr>
                <w:sz w:val="24"/>
                <w:szCs w:val="24"/>
              </w:rPr>
            </w:pPr>
            <w:r w:rsidRPr="00D65D35">
              <w:rPr>
                <w:sz w:val="24"/>
                <w:szCs w:val="24"/>
              </w:rPr>
              <w:t>Example</w:t>
            </w:r>
          </w:p>
        </w:tc>
        <w:tc>
          <w:tcPr>
            <w:tcW w:w="1442" w:type="pct"/>
            <w:shd w:val="clear" w:color="auto" w:fill="B4C6E7" w:themeFill="accent1" w:themeFillTint="66"/>
          </w:tcPr>
          <w:p w:rsidR="00F7102A" w:rsidRPr="00D65D35" w:rsidRDefault="00F7102A" w:rsidP="00501A0E">
            <w:pPr>
              <w:pStyle w:val="TableHeader"/>
              <w:keepNext/>
              <w:rPr>
                <w:sz w:val="24"/>
                <w:szCs w:val="24"/>
              </w:rPr>
            </w:pPr>
            <w:r w:rsidRPr="00D65D35">
              <w:rPr>
                <w:sz w:val="24"/>
                <w:szCs w:val="24"/>
              </w:rPr>
              <w:t>Example</w:t>
            </w:r>
          </w:p>
        </w:tc>
      </w:tr>
      <w:tr w:rsidR="00F7102A" w:rsidRPr="00D65D35" w:rsidTr="00040ADD">
        <w:trPr>
          <w:trHeight w:val="665"/>
        </w:trPr>
        <w:tc>
          <w:tcPr>
            <w:tcW w:w="751" w:type="pct"/>
          </w:tcPr>
          <w:p w:rsidR="00F7102A" w:rsidRPr="00D65D35" w:rsidRDefault="00B70E01" w:rsidP="00501A0E">
            <w:pPr>
              <w:pStyle w:val="TableHeader"/>
              <w:rPr>
                <w:b w:val="0"/>
                <w:sz w:val="24"/>
                <w:szCs w:val="24"/>
              </w:rPr>
            </w:pPr>
            <w:r w:rsidRPr="00D65D35">
              <w:rPr>
                <w:b w:val="0"/>
                <w:sz w:val="24"/>
                <w:szCs w:val="24"/>
              </w:rPr>
              <w:t>Control over Timing</w:t>
            </w:r>
          </w:p>
        </w:tc>
        <w:tc>
          <w:tcPr>
            <w:tcW w:w="1372" w:type="pct"/>
          </w:tcPr>
          <w:p w:rsidR="00F7102A" w:rsidRPr="00D65D35" w:rsidRDefault="00B70E01" w:rsidP="00501A0E">
            <w:pPr>
              <w:pStyle w:val="TableHeader"/>
              <w:rPr>
                <w:b w:val="0"/>
                <w:sz w:val="24"/>
                <w:szCs w:val="24"/>
              </w:rPr>
            </w:pPr>
            <w:r w:rsidRPr="00D65D35">
              <w:rPr>
                <w:b w:val="0"/>
                <w:sz w:val="24"/>
                <w:szCs w:val="24"/>
              </w:rPr>
              <w:t>Who (teacher, school, district, state, vendor) has the authority to specify when assessment will take place</w:t>
            </w:r>
          </w:p>
        </w:tc>
        <w:tc>
          <w:tcPr>
            <w:tcW w:w="1435" w:type="pct"/>
          </w:tcPr>
          <w:p w:rsidR="00F7102A" w:rsidRPr="00D65D35" w:rsidRDefault="00F7102A" w:rsidP="00501A0E">
            <w:pPr>
              <w:pStyle w:val="TableHeader"/>
              <w:rPr>
                <w:b w:val="0"/>
                <w:sz w:val="24"/>
                <w:szCs w:val="24"/>
              </w:rPr>
            </w:pPr>
            <w:r w:rsidRPr="00D65D35">
              <w:rPr>
                <w:b w:val="0"/>
                <w:sz w:val="24"/>
                <w:szCs w:val="24"/>
              </w:rPr>
              <w:t>A teacher plans her lessons for the week and makes an end-of-week quiz for the weeks’ worth of lessons.</w:t>
            </w:r>
          </w:p>
        </w:tc>
        <w:tc>
          <w:tcPr>
            <w:tcW w:w="1442" w:type="pct"/>
          </w:tcPr>
          <w:p w:rsidR="00F7102A" w:rsidRPr="00D65D35" w:rsidRDefault="00F7102A" w:rsidP="00501A0E">
            <w:pPr>
              <w:pStyle w:val="TableHeader"/>
              <w:rPr>
                <w:b w:val="0"/>
                <w:sz w:val="24"/>
                <w:szCs w:val="24"/>
              </w:rPr>
            </w:pPr>
            <w:r w:rsidRPr="00D65D35">
              <w:rPr>
                <w:b w:val="0"/>
                <w:sz w:val="24"/>
                <w:szCs w:val="24"/>
              </w:rPr>
              <w:t>A teacher plans her lessons to include mid-unit checks after each topic in the day’s lesson.</w:t>
            </w:r>
          </w:p>
        </w:tc>
      </w:tr>
      <w:tr w:rsidR="00B70E01" w:rsidRPr="00D65D35" w:rsidTr="00040ADD">
        <w:trPr>
          <w:trHeight w:val="1188"/>
        </w:trPr>
        <w:tc>
          <w:tcPr>
            <w:tcW w:w="751" w:type="pct"/>
          </w:tcPr>
          <w:p w:rsidR="00B70E01" w:rsidRPr="00D65D35" w:rsidRDefault="00B70E01" w:rsidP="00501A0E">
            <w:pPr>
              <w:pStyle w:val="TableHeader"/>
              <w:rPr>
                <w:b w:val="0"/>
                <w:sz w:val="24"/>
                <w:szCs w:val="24"/>
              </w:rPr>
            </w:pPr>
            <w:r w:rsidRPr="00D65D35">
              <w:rPr>
                <w:b w:val="0"/>
                <w:sz w:val="24"/>
                <w:szCs w:val="24"/>
              </w:rPr>
              <w:t>Control over Content</w:t>
            </w:r>
          </w:p>
        </w:tc>
        <w:tc>
          <w:tcPr>
            <w:tcW w:w="1372" w:type="pct"/>
          </w:tcPr>
          <w:p w:rsidR="00B70E01" w:rsidRPr="00D65D35" w:rsidRDefault="00B70E01" w:rsidP="00501A0E">
            <w:pPr>
              <w:pStyle w:val="TableHeader"/>
              <w:rPr>
                <w:b w:val="0"/>
                <w:sz w:val="24"/>
                <w:szCs w:val="24"/>
              </w:rPr>
            </w:pPr>
            <w:r w:rsidRPr="00D65D35">
              <w:rPr>
                <w:b w:val="0"/>
                <w:sz w:val="24"/>
                <w:szCs w:val="24"/>
              </w:rPr>
              <w:t>Who has the authority to control what content assessment covers</w:t>
            </w:r>
          </w:p>
        </w:tc>
        <w:tc>
          <w:tcPr>
            <w:tcW w:w="1435" w:type="pct"/>
          </w:tcPr>
          <w:p w:rsidR="00B70E01" w:rsidRPr="00D65D35" w:rsidRDefault="00B70E01" w:rsidP="00501A0E">
            <w:pPr>
              <w:pStyle w:val="TableHeader"/>
              <w:rPr>
                <w:b w:val="0"/>
                <w:sz w:val="24"/>
                <w:szCs w:val="24"/>
              </w:rPr>
            </w:pPr>
            <w:r w:rsidRPr="00D65D35">
              <w:rPr>
                <w:b w:val="0"/>
                <w:sz w:val="24"/>
                <w:szCs w:val="24"/>
              </w:rPr>
              <w:t>A teacher uses the district’s unit plan, but she spends a couple of additional days to ensure students are on track, and then administers the common end-of-unit assessment.</w:t>
            </w:r>
          </w:p>
        </w:tc>
        <w:tc>
          <w:tcPr>
            <w:tcW w:w="1442" w:type="pct"/>
          </w:tcPr>
          <w:p w:rsidR="00B70E01" w:rsidRPr="00D65D35" w:rsidRDefault="00B70E01" w:rsidP="00501A0E">
            <w:pPr>
              <w:pStyle w:val="TableHeader"/>
              <w:rPr>
                <w:b w:val="0"/>
                <w:sz w:val="24"/>
                <w:szCs w:val="24"/>
              </w:rPr>
            </w:pPr>
            <w:r w:rsidRPr="00D65D35">
              <w:rPr>
                <w:b w:val="0"/>
                <w:sz w:val="24"/>
                <w:szCs w:val="24"/>
              </w:rPr>
              <w:t>The district assigns each department to create common end-of-unit tests with flexibility to reorder units if appropriate and to complete them slower or faster depending on student needs.</w:t>
            </w:r>
          </w:p>
        </w:tc>
      </w:tr>
      <w:tr w:rsidR="00B70E01" w:rsidRPr="00D65D35" w:rsidTr="00040ADD">
        <w:trPr>
          <w:trHeight w:val="1044"/>
        </w:trPr>
        <w:tc>
          <w:tcPr>
            <w:tcW w:w="751" w:type="pct"/>
          </w:tcPr>
          <w:p w:rsidR="00B70E01" w:rsidRPr="00D65D35" w:rsidRDefault="00B70E01" w:rsidP="00501A0E">
            <w:pPr>
              <w:pStyle w:val="TableHeader"/>
              <w:rPr>
                <w:b w:val="0"/>
                <w:sz w:val="24"/>
                <w:szCs w:val="24"/>
              </w:rPr>
            </w:pPr>
            <w:r w:rsidRPr="00D65D35">
              <w:rPr>
                <w:b w:val="0"/>
                <w:sz w:val="24"/>
                <w:szCs w:val="24"/>
              </w:rPr>
              <w:t>Lesson</w:t>
            </w:r>
          </w:p>
        </w:tc>
        <w:tc>
          <w:tcPr>
            <w:tcW w:w="1372" w:type="pct"/>
          </w:tcPr>
          <w:p w:rsidR="00B70E01" w:rsidRPr="00D65D35" w:rsidRDefault="00B70E01" w:rsidP="00501A0E">
            <w:pPr>
              <w:pStyle w:val="TableHeader"/>
              <w:rPr>
                <w:b w:val="0"/>
                <w:sz w:val="24"/>
                <w:szCs w:val="24"/>
              </w:rPr>
            </w:pPr>
            <w:r w:rsidRPr="00D65D35">
              <w:rPr>
                <w:b w:val="0"/>
                <w:sz w:val="24"/>
                <w:szCs w:val="24"/>
              </w:rPr>
              <w:t>A single day (or no more than a few days of instruction covering a narrow set of content)</w:t>
            </w:r>
          </w:p>
        </w:tc>
        <w:tc>
          <w:tcPr>
            <w:tcW w:w="1435" w:type="pct"/>
          </w:tcPr>
          <w:p w:rsidR="00B70E01" w:rsidRPr="00D65D35" w:rsidRDefault="00B70E01" w:rsidP="00501A0E">
            <w:pPr>
              <w:pStyle w:val="TableHeader"/>
              <w:rPr>
                <w:b w:val="0"/>
                <w:sz w:val="24"/>
                <w:szCs w:val="24"/>
              </w:rPr>
            </w:pPr>
          </w:p>
        </w:tc>
        <w:tc>
          <w:tcPr>
            <w:tcW w:w="1442" w:type="pct"/>
          </w:tcPr>
          <w:p w:rsidR="00B70E01" w:rsidRPr="00D65D35" w:rsidRDefault="00B70E01" w:rsidP="00501A0E">
            <w:pPr>
              <w:pStyle w:val="TableHeader"/>
              <w:rPr>
                <w:b w:val="0"/>
                <w:sz w:val="24"/>
                <w:szCs w:val="24"/>
              </w:rPr>
            </w:pPr>
          </w:p>
        </w:tc>
      </w:tr>
      <w:tr w:rsidR="00B70E01" w:rsidRPr="00D65D35" w:rsidTr="00040ADD">
        <w:trPr>
          <w:trHeight w:val="1044"/>
        </w:trPr>
        <w:tc>
          <w:tcPr>
            <w:tcW w:w="751" w:type="pct"/>
          </w:tcPr>
          <w:p w:rsidR="00B70E01" w:rsidRPr="00D65D35" w:rsidRDefault="00B70E01" w:rsidP="00501A0E">
            <w:pPr>
              <w:pStyle w:val="TableHeader"/>
              <w:rPr>
                <w:b w:val="0"/>
                <w:sz w:val="24"/>
                <w:szCs w:val="24"/>
              </w:rPr>
            </w:pPr>
            <w:r w:rsidRPr="00D65D35">
              <w:rPr>
                <w:b w:val="0"/>
                <w:sz w:val="24"/>
                <w:szCs w:val="24"/>
              </w:rPr>
              <w:t>Small Unit</w:t>
            </w:r>
          </w:p>
        </w:tc>
        <w:tc>
          <w:tcPr>
            <w:tcW w:w="1372" w:type="pct"/>
          </w:tcPr>
          <w:p w:rsidR="00B70E01" w:rsidRPr="00D65D35" w:rsidRDefault="00B70E01" w:rsidP="00501A0E">
            <w:pPr>
              <w:pStyle w:val="TableHeader"/>
              <w:rPr>
                <w:b w:val="0"/>
                <w:sz w:val="24"/>
                <w:szCs w:val="24"/>
              </w:rPr>
            </w:pPr>
            <w:r w:rsidRPr="00D65D35">
              <w:rPr>
                <w:b w:val="0"/>
                <w:sz w:val="24"/>
                <w:szCs w:val="24"/>
              </w:rPr>
              <w:t>A unit of curriculum and associated instruction no larger than approximately three weeks</w:t>
            </w:r>
          </w:p>
        </w:tc>
        <w:tc>
          <w:tcPr>
            <w:tcW w:w="1435" w:type="pct"/>
          </w:tcPr>
          <w:p w:rsidR="00B70E01" w:rsidRPr="00D65D35" w:rsidRDefault="00B70E01" w:rsidP="00501A0E">
            <w:pPr>
              <w:pStyle w:val="TableHeader"/>
              <w:rPr>
                <w:b w:val="0"/>
                <w:sz w:val="24"/>
                <w:szCs w:val="24"/>
              </w:rPr>
            </w:pPr>
            <w:r w:rsidRPr="00D65D35">
              <w:rPr>
                <w:b w:val="0"/>
                <w:sz w:val="24"/>
                <w:szCs w:val="24"/>
              </w:rPr>
              <w:t>Five lessons</w:t>
            </w:r>
          </w:p>
        </w:tc>
        <w:tc>
          <w:tcPr>
            <w:tcW w:w="1442" w:type="pct"/>
          </w:tcPr>
          <w:p w:rsidR="00B70E01" w:rsidRPr="00D65D35" w:rsidRDefault="00B70E01" w:rsidP="00501A0E">
            <w:pPr>
              <w:pStyle w:val="TableHeader"/>
              <w:rPr>
                <w:b w:val="0"/>
                <w:sz w:val="24"/>
                <w:szCs w:val="24"/>
              </w:rPr>
            </w:pPr>
            <w:r w:rsidRPr="00D65D35">
              <w:rPr>
                <w:b w:val="0"/>
                <w:sz w:val="24"/>
                <w:szCs w:val="24"/>
              </w:rPr>
              <w:t>Two weeks</w:t>
            </w:r>
          </w:p>
        </w:tc>
      </w:tr>
      <w:tr w:rsidR="00B70E01" w:rsidRPr="00D65D35" w:rsidTr="00040ADD">
        <w:trPr>
          <w:trHeight w:val="819"/>
        </w:trPr>
        <w:tc>
          <w:tcPr>
            <w:tcW w:w="751" w:type="pct"/>
          </w:tcPr>
          <w:p w:rsidR="00B70E01" w:rsidRPr="00D65D35" w:rsidRDefault="00B70E01" w:rsidP="00501A0E">
            <w:pPr>
              <w:pStyle w:val="TableHeader"/>
              <w:rPr>
                <w:b w:val="0"/>
                <w:sz w:val="24"/>
                <w:szCs w:val="24"/>
              </w:rPr>
            </w:pPr>
            <w:r w:rsidRPr="00D65D35">
              <w:rPr>
                <w:b w:val="0"/>
                <w:sz w:val="24"/>
                <w:szCs w:val="24"/>
              </w:rPr>
              <w:t>Large Unit</w:t>
            </w:r>
          </w:p>
        </w:tc>
        <w:tc>
          <w:tcPr>
            <w:tcW w:w="1372" w:type="pct"/>
          </w:tcPr>
          <w:p w:rsidR="00B70E01" w:rsidRPr="00D65D35" w:rsidRDefault="00B70E01" w:rsidP="00501A0E">
            <w:pPr>
              <w:pStyle w:val="TableHeader"/>
              <w:rPr>
                <w:b w:val="0"/>
                <w:sz w:val="24"/>
                <w:szCs w:val="24"/>
              </w:rPr>
            </w:pPr>
            <w:r w:rsidRPr="00D65D35">
              <w:rPr>
                <w:b w:val="0"/>
                <w:sz w:val="24"/>
                <w:szCs w:val="24"/>
              </w:rPr>
              <w:t>A unit of curriculum and associated instruction larger than three weeks and smaller than a marking period</w:t>
            </w:r>
          </w:p>
        </w:tc>
        <w:tc>
          <w:tcPr>
            <w:tcW w:w="1435" w:type="pct"/>
          </w:tcPr>
          <w:p w:rsidR="00B70E01" w:rsidRPr="00D65D35" w:rsidRDefault="00B70E01" w:rsidP="00501A0E">
            <w:pPr>
              <w:pStyle w:val="TableHeader"/>
              <w:rPr>
                <w:b w:val="0"/>
                <w:sz w:val="24"/>
                <w:szCs w:val="24"/>
              </w:rPr>
            </w:pPr>
            <w:r w:rsidRPr="00D65D35">
              <w:rPr>
                <w:b w:val="0"/>
                <w:sz w:val="24"/>
                <w:szCs w:val="24"/>
              </w:rPr>
              <w:t>Half a semester</w:t>
            </w:r>
          </w:p>
        </w:tc>
        <w:tc>
          <w:tcPr>
            <w:tcW w:w="1442" w:type="pct"/>
          </w:tcPr>
          <w:p w:rsidR="00B70E01" w:rsidRPr="00D65D35" w:rsidRDefault="00B70E01" w:rsidP="00501A0E">
            <w:pPr>
              <w:pStyle w:val="TableHeader"/>
              <w:rPr>
                <w:b w:val="0"/>
                <w:sz w:val="24"/>
                <w:szCs w:val="24"/>
              </w:rPr>
            </w:pPr>
            <w:r w:rsidRPr="00D65D35">
              <w:rPr>
                <w:b w:val="0"/>
                <w:sz w:val="24"/>
                <w:szCs w:val="24"/>
              </w:rPr>
              <w:t>A month</w:t>
            </w:r>
          </w:p>
        </w:tc>
      </w:tr>
      <w:tr w:rsidR="00B70E01" w:rsidRPr="00D65D35" w:rsidTr="00040ADD">
        <w:trPr>
          <w:trHeight w:val="594"/>
        </w:trPr>
        <w:tc>
          <w:tcPr>
            <w:tcW w:w="751" w:type="pct"/>
          </w:tcPr>
          <w:p w:rsidR="00B70E01" w:rsidRPr="00D65D35" w:rsidRDefault="00B70E01" w:rsidP="00501A0E">
            <w:pPr>
              <w:pStyle w:val="TableHeader"/>
              <w:rPr>
                <w:b w:val="0"/>
                <w:sz w:val="24"/>
                <w:szCs w:val="24"/>
              </w:rPr>
            </w:pPr>
            <w:r w:rsidRPr="00D65D35">
              <w:rPr>
                <w:b w:val="0"/>
                <w:sz w:val="24"/>
                <w:szCs w:val="24"/>
              </w:rPr>
              <w:t>Marking Period</w:t>
            </w:r>
          </w:p>
        </w:tc>
        <w:tc>
          <w:tcPr>
            <w:tcW w:w="1372" w:type="pct"/>
          </w:tcPr>
          <w:p w:rsidR="00B70E01" w:rsidRPr="00D65D35" w:rsidRDefault="00B70E01" w:rsidP="00501A0E">
            <w:pPr>
              <w:pStyle w:val="TableHeader"/>
              <w:rPr>
                <w:b w:val="0"/>
                <w:sz w:val="24"/>
                <w:szCs w:val="24"/>
              </w:rPr>
            </w:pPr>
            <w:r w:rsidRPr="00D65D35">
              <w:rPr>
                <w:b w:val="0"/>
                <w:sz w:val="24"/>
                <w:szCs w:val="24"/>
              </w:rPr>
              <w:t>A unit of curriculum and associated instruction in which a student gets a final evaluation of performance</w:t>
            </w:r>
          </w:p>
        </w:tc>
        <w:tc>
          <w:tcPr>
            <w:tcW w:w="1435" w:type="pct"/>
          </w:tcPr>
          <w:p w:rsidR="00B70E01" w:rsidRPr="00D65D35" w:rsidRDefault="00B70E01" w:rsidP="00501A0E">
            <w:pPr>
              <w:pStyle w:val="TableHeader"/>
              <w:rPr>
                <w:b w:val="0"/>
                <w:sz w:val="24"/>
                <w:szCs w:val="24"/>
              </w:rPr>
            </w:pPr>
            <w:r w:rsidRPr="00D65D35">
              <w:rPr>
                <w:b w:val="0"/>
                <w:sz w:val="24"/>
                <w:szCs w:val="24"/>
              </w:rPr>
              <w:t>A semester</w:t>
            </w:r>
          </w:p>
        </w:tc>
        <w:tc>
          <w:tcPr>
            <w:tcW w:w="1442" w:type="pct"/>
          </w:tcPr>
          <w:p w:rsidR="00B70E01" w:rsidRPr="00D65D35" w:rsidRDefault="00B70E01" w:rsidP="00501A0E">
            <w:pPr>
              <w:pStyle w:val="TableHeader"/>
              <w:rPr>
                <w:b w:val="0"/>
                <w:sz w:val="24"/>
                <w:szCs w:val="24"/>
              </w:rPr>
            </w:pPr>
            <w:r w:rsidRPr="00D65D35">
              <w:rPr>
                <w:b w:val="0"/>
                <w:sz w:val="24"/>
                <w:szCs w:val="24"/>
              </w:rPr>
              <w:t>A course</w:t>
            </w:r>
          </w:p>
        </w:tc>
      </w:tr>
      <w:tr w:rsidR="00B70E01" w:rsidRPr="00D65D35" w:rsidTr="00040ADD">
        <w:trPr>
          <w:trHeight w:val="594"/>
        </w:trPr>
        <w:tc>
          <w:tcPr>
            <w:tcW w:w="751" w:type="pct"/>
          </w:tcPr>
          <w:p w:rsidR="00B70E01" w:rsidRPr="00D65D35" w:rsidRDefault="00B70E01" w:rsidP="00501A0E">
            <w:pPr>
              <w:pStyle w:val="TableHeader"/>
              <w:rPr>
                <w:b w:val="0"/>
                <w:sz w:val="24"/>
                <w:szCs w:val="24"/>
              </w:rPr>
            </w:pPr>
            <w:r w:rsidRPr="00D65D35">
              <w:rPr>
                <w:b w:val="0"/>
                <w:sz w:val="24"/>
                <w:szCs w:val="24"/>
              </w:rPr>
              <w:lastRenderedPageBreak/>
              <w:t>Course of Study</w:t>
            </w:r>
          </w:p>
        </w:tc>
        <w:tc>
          <w:tcPr>
            <w:tcW w:w="1372" w:type="pct"/>
          </w:tcPr>
          <w:p w:rsidR="00B70E01" w:rsidRPr="00D65D35" w:rsidRDefault="00B70E01" w:rsidP="00501A0E">
            <w:pPr>
              <w:pStyle w:val="TableHeader"/>
              <w:rPr>
                <w:b w:val="0"/>
                <w:sz w:val="24"/>
                <w:szCs w:val="24"/>
              </w:rPr>
            </w:pPr>
            <w:r w:rsidRPr="00D65D35">
              <w:rPr>
                <w:b w:val="0"/>
                <w:sz w:val="24"/>
                <w:szCs w:val="24"/>
              </w:rPr>
              <w:t>A unite of curriculum and associated instruction larger than a marking period.</w:t>
            </w:r>
          </w:p>
        </w:tc>
        <w:tc>
          <w:tcPr>
            <w:tcW w:w="1435" w:type="pct"/>
          </w:tcPr>
          <w:p w:rsidR="00B70E01" w:rsidRPr="00D65D35" w:rsidRDefault="00B70E01" w:rsidP="00501A0E">
            <w:pPr>
              <w:pStyle w:val="TableHeader"/>
              <w:rPr>
                <w:b w:val="0"/>
                <w:sz w:val="24"/>
                <w:szCs w:val="24"/>
              </w:rPr>
            </w:pPr>
            <w:r w:rsidRPr="00D65D35">
              <w:rPr>
                <w:b w:val="0"/>
                <w:sz w:val="24"/>
                <w:szCs w:val="24"/>
              </w:rPr>
              <w:t>A group of courses culminating in an advanced placement course.</w:t>
            </w:r>
          </w:p>
        </w:tc>
        <w:tc>
          <w:tcPr>
            <w:tcW w:w="1442" w:type="pct"/>
          </w:tcPr>
          <w:p w:rsidR="00B70E01" w:rsidRPr="00D65D35" w:rsidRDefault="00B70E01" w:rsidP="00501A0E">
            <w:pPr>
              <w:pStyle w:val="TableHeader"/>
              <w:rPr>
                <w:b w:val="0"/>
                <w:sz w:val="24"/>
                <w:szCs w:val="24"/>
              </w:rPr>
            </w:pPr>
            <w:r w:rsidRPr="00D65D35">
              <w:rPr>
                <w:b w:val="0"/>
                <w:sz w:val="24"/>
                <w:szCs w:val="24"/>
              </w:rPr>
              <w:t>Grades K-12</w:t>
            </w:r>
          </w:p>
        </w:tc>
      </w:tr>
      <w:tr w:rsidR="00B70E01" w:rsidRPr="00D65D35" w:rsidTr="00040ADD">
        <w:trPr>
          <w:trHeight w:val="900"/>
        </w:trPr>
        <w:tc>
          <w:tcPr>
            <w:tcW w:w="751" w:type="pct"/>
          </w:tcPr>
          <w:p w:rsidR="00B70E01" w:rsidRPr="00D65D35" w:rsidRDefault="00B70E01" w:rsidP="00501A0E">
            <w:pPr>
              <w:pStyle w:val="TableHeader"/>
              <w:rPr>
                <w:b w:val="0"/>
                <w:sz w:val="24"/>
                <w:szCs w:val="24"/>
              </w:rPr>
            </w:pPr>
            <w:r w:rsidRPr="00D65D35">
              <w:rPr>
                <w:b w:val="0"/>
                <w:sz w:val="24"/>
                <w:szCs w:val="24"/>
              </w:rPr>
              <w:t>Assessment FOR Learning Mindset</w:t>
            </w:r>
          </w:p>
          <w:p w:rsidR="00B70E01" w:rsidRPr="00D65D35" w:rsidRDefault="00B70E01" w:rsidP="00501A0E">
            <w:pPr>
              <w:pStyle w:val="TableHeader"/>
              <w:rPr>
                <w:b w:val="0"/>
                <w:sz w:val="24"/>
                <w:szCs w:val="24"/>
              </w:rPr>
            </w:pPr>
            <w:r w:rsidRPr="00D65D35">
              <w:rPr>
                <w:b w:val="0"/>
                <w:sz w:val="24"/>
                <w:szCs w:val="24"/>
              </w:rPr>
              <w:t>(formative assessment)</w:t>
            </w:r>
          </w:p>
        </w:tc>
        <w:tc>
          <w:tcPr>
            <w:tcW w:w="1372" w:type="pct"/>
          </w:tcPr>
          <w:p w:rsidR="00B70E01" w:rsidRPr="00D65D35" w:rsidRDefault="00B70E01" w:rsidP="00501A0E">
            <w:pPr>
              <w:pStyle w:val="TableHeader"/>
              <w:rPr>
                <w:b w:val="0"/>
                <w:sz w:val="24"/>
                <w:szCs w:val="24"/>
              </w:rPr>
            </w:pPr>
            <w:r w:rsidRPr="00D65D35">
              <w:rPr>
                <w:b w:val="0"/>
                <w:sz w:val="24"/>
                <w:szCs w:val="24"/>
              </w:rPr>
              <w:t>A state of mind that approaches assessment as a tool to maintain a feedback loop between student and teacher.</w:t>
            </w:r>
          </w:p>
        </w:tc>
        <w:tc>
          <w:tcPr>
            <w:tcW w:w="1435" w:type="pct"/>
          </w:tcPr>
          <w:p w:rsidR="00B70E01" w:rsidRPr="00D65D35" w:rsidRDefault="00B70E01" w:rsidP="00B70E01">
            <w:pPr>
              <w:pStyle w:val="TableHeader"/>
              <w:rPr>
                <w:b w:val="0"/>
                <w:sz w:val="24"/>
                <w:szCs w:val="24"/>
              </w:rPr>
            </w:pPr>
            <w:r w:rsidRPr="00D65D35">
              <w:rPr>
                <w:b w:val="0"/>
                <w:sz w:val="24"/>
                <w:szCs w:val="24"/>
              </w:rPr>
              <w:t>A teacher plans several mid-lesson check-ins to receive feedback and provide feedback about learning and instruction to make rapid course corrections if needed.</w:t>
            </w:r>
          </w:p>
        </w:tc>
        <w:tc>
          <w:tcPr>
            <w:tcW w:w="1442" w:type="pct"/>
          </w:tcPr>
          <w:p w:rsidR="00B70E01" w:rsidRPr="00D65D35" w:rsidRDefault="00B70E01" w:rsidP="00501A0E">
            <w:pPr>
              <w:pStyle w:val="TableHeader"/>
              <w:rPr>
                <w:b w:val="0"/>
                <w:sz w:val="24"/>
                <w:szCs w:val="24"/>
              </w:rPr>
            </w:pPr>
            <w:r w:rsidRPr="00D65D35">
              <w:rPr>
                <w:b w:val="0"/>
                <w:sz w:val="24"/>
                <w:szCs w:val="24"/>
              </w:rPr>
              <w:t>A teacher provides several rounds of ungraded feedback on a unit writing assignment.</w:t>
            </w:r>
          </w:p>
        </w:tc>
      </w:tr>
      <w:tr w:rsidR="00B70E01" w:rsidRPr="00D65D35" w:rsidTr="00040ADD">
        <w:trPr>
          <w:trHeight w:val="1044"/>
        </w:trPr>
        <w:tc>
          <w:tcPr>
            <w:tcW w:w="751" w:type="pct"/>
          </w:tcPr>
          <w:p w:rsidR="00B70E01" w:rsidRPr="00D65D35" w:rsidRDefault="00B70E01" w:rsidP="00501A0E">
            <w:pPr>
              <w:pStyle w:val="TableHeader"/>
              <w:rPr>
                <w:b w:val="0"/>
                <w:sz w:val="24"/>
                <w:szCs w:val="24"/>
              </w:rPr>
            </w:pPr>
            <w:r w:rsidRPr="00D65D35">
              <w:rPr>
                <w:b w:val="0"/>
                <w:sz w:val="24"/>
                <w:szCs w:val="24"/>
              </w:rPr>
              <w:t>Assessment OF Learning Mindset</w:t>
            </w:r>
          </w:p>
        </w:tc>
        <w:tc>
          <w:tcPr>
            <w:tcW w:w="1372" w:type="pct"/>
          </w:tcPr>
          <w:p w:rsidR="00B70E01" w:rsidRPr="00D65D35" w:rsidRDefault="00B70E01" w:rsidP="00501A0E">
            <w:pPr>
              <w:pStyle w:val="TableHeader"/>
              <w:rPr>
                <w:b w:val="0"/>
                <w:sz w:val="24"/>
                <w:szCs w:val="24"/>
              </w:rPr>
            </w:pPr>
            <w:r w:rsidRPr="00D65D35">
              <w:rPr>
                <w:b w:val="0"/>
                <w:sz w:val="24"/>
                <w:szCs w:val="24"/>
              </w:rPr>
              <w:t xml:space="preserve">A state of mind that approaches assessment as a tool for </w:t>
            </w:r>
            <w:r w:rsidRPr="00D65D35">
              <w:rPr>
                <w:b w:val="0"/>
                <w:sz w:val="24"/>
                <w:szCs w:val="24"/>
              </w:rPr>
              <w:t>evaluating</w:t>
            </w:r>
            <w:r w:rsidRPr="00D65D35">
              <w:rPr>
                <w:b w:val="0"/>
                <w:sz w:val="24"/>
                <w:szCs w:val="24"/>
              </w:rPr>
              <w:t xml:space="preserve"> student achievement.</w:t>
            </w:r>
          </w:p>
        </w:tc>
        <w:tc>
          <w:tcPr>
            <w:tcW w:w="1435" w:type="pct"/>
          </w:tcPr>
          <w:p w:rsidR="00B70E01" w:rsidRPr="00D65D35" w:rsidRDefault="00B70E01" w:rsidP="00B70E01">
            <w:pPr>
              <w:pStyle w:val="TableHeader"/>
              <w:rPr>
                <w:b w:val="0"/>
                <w:sz w:val="24"/>
                <w:szCs w:val="24"/>
              </w:rPr>
            </w:pPr>
            <w:r w:rsidRPr="00D65D35">
              <w:rPr>
                <w:b w:val="0"/>
                <w:sz w:val="24"/>
                <w:szCs w:val="24"/>
              </w:rPr>
              <w:t>Any student work that is graded</w:t>
            </w:r>
          </w:p>
        </w:tc>
        <w:tc>
          <w:tcPr>
            <w:tcW w:w="1442" w:type="pct"/>
          </w:tcPr>
          <w:p w:rsidR="00B70E01" w:rsidRPr="00D65D35" w:rsidRDefault="00B70E01" w:rsidP="00501A0E">
            <w:pPr>
              <w:pStyle w:val="TableHeader"/>
              <w:rPr>
                <w:b w:val="0"/>
                <w:sz w:val="24"/>
                <w:szCs w:val="24"/>
              </w:rPr>
            </w:pPr>
            <w:r w:rsidRPr="00D65D35">
              <w:rPr>
                <w:b w:val="0"/>
                <w:sz w:val="24"/>
                <w:szCs w:val="24"/>
              </w:rPr>
              <w:t>An orchestra teacher grades sight reading and practiced musical performance to assign chairs to students for the semester.</w:t>
            </w:r>
          </w:p>
        </w:tc>
      </w:tr>
      <w:tr w:rsidR="00B70E01" w:rsidRPr="00D65D35" w:rsidTr="00040ADD">
        <w:trPr>
          <w:trHeight w:val="1575"/>
        </w:trPr>
        <w:tc>
          <w:tcPr>
            <w:tcW w:w="751" w:type="pct"/>
          </w:tcPr>
          <w:p w:rsidR="00B70E01" w:rsidRPr="00D65D35" w:rsidRDefault="00B70E01" w:rsidP="00501A0E">
            <w:pPr>
              <w:pStyle w:val="TableHeader"/>
              <w:rPr>
                <w:b w:val="0"/>
                <w:sz w:val="24"/>
                <w:szCs w:val="24"/>
              </w:rPr>
            </w:pPr>
            <w:r w:rsidRPr="00D65D35">
              <w:rPr>
                <w:b w:val="0"/>
                <w:sz w:val="24"/>
                <w:szCs w:val="24"/>
              </w:rPr>
              <w:t xml:space="preserve">Formative Assessment </w:t>
            </w:r>
          </w:p>
          <w:p w:rsidR="00B70E01" w:rsidRPr="00D65D35" w:rsidRDefault="00B70E01" w:rsidP="00501A0E">
            <w:pPr>
              <w:pStyle w:val="TableHeader"/>
              <w:rPr>
                <w:b w:val="0"/>
                <w:sz w:val="24"/>
                <w:szCs w:val="24"/>
              </w:rPr>
            </w:pPr>
            <w:r w:rsidRPr="00D65D35">
              <w:rPr>
                <w:b w:val="0"/>
                <w:sz w:val="24"/>
                <w:szCs w:val="24"/>
              </w:rPr>
              <w:t>(assessment for learning)</w:t>
            </w:r>
          </w:p>
        </w:tc>
        <w:tc>
          <w:tcPr>
            <w:tcW w:w="1372" w:type="pct"/>
          </w:tcPr>
          <w:p w:rsidR="00B70E01" w:rsidRPr="00D65D35" w:rsidRDefault="00B70E01" w:rsidP="00501A0E">
            <w:pPr>
              <w:pStyle w:val="TableHeader"/>
              <w:rPr>
                <w:b w:val="0"/>
                <w:sz w:val="24"/>
                <w:szCs w:val="24"/>
              </w:rPr>
            </w:pPr>
            <w:r w:rsidRPr="00D65D35">
              <w:rPr>
                <w:b w:val="0"/>
                <w:sz w:val="24"/>
                <w:szCs w:val="24"/>
              </w:rPr>
              <w:t>Assessment FOR Learning</w:t>
            </w:r>
          </w:p>
        </w:tc>
        <w:tc>
          <w:tcPr>
            <w:tcW w:w="1435" w:type="pct"/>
          </w:tcPr>
          <w:p w:rsidR="00B70E01" w:rsidRPr="00D65D35" w:rsidRDefault="00B70E01" w:rsidP="00501A0E">
            <w:pPr>
              <w:pStyle w:val="TableHeader"/>
              <w:rPr>
                <w:b w:val="0"/>
                <w:sz w:val="24"/>
                <w:szCs w:val="24"/>
              </w:rPr>
            </w:pPr>
            <w:r w:rsidRPr="00D65D35">
              <w:rPr>
                <w:b w:val="0"/>
                <w:sz w:val="24"/>
                <w:szCs w:val="24"/>
              </w:rPr>
              <w:t>A teacher develops a small-group classwork project, shares the rubric with the class, observes each group based on the rubric, and asks each group to identify with her where their project falls on the rubric.</w:t>
            </w:r>
          </w:p>
        </w:tc>
        <w:tc>
          <w:tcPr>
            <w:tcW w:w="1442" w:type="pct"/>
          </w:tcPr>
          <w:p w:rsidR="00B70E01" w:rsidRPr="00D65D35" w:rsidRDefault="00B70E01" w:rsidP="00501A0E">
            <w:pPr>
              <w:pStyle w:val="TableHeader"/>
              <w:rPr>
                <w:b w:val="0"/>
                <w:sz w:val="24"/>
                <w:szCs w:val="24"/>
              </w:rPr>
            </w:pPr>
            <w:r w:rsidRPr="00D65D35">
              <w:rPr>
                <w:b w:val="0"/>
                <w:sz w:val="24"/>
                <w:szCs w:val="24"/>
              </w:rPr>
              <w:t>A teacher creates a mid-lesson quiz on addition with regrouping with half of the items requiring regrouping. She identifies students who got regrouping items wrong and the others right for small-group instruction during the second half of the lesson.</w:t>
            </w:r>
          </w:p>
        </w:tc>
      </w:tr>
      <w:tr w:rsidR="00B70E01" w:rsidRPr="00D65D35" w:rsidTr="00040ADD">
        <w:trPr>
          <w:trHeight w:val="594"/>
        </w:trPr>
        <w:tc>
          <w:tcPr>
            <w:tcW w:w="751" w:type="pct"/>
          </w:tcPr>
          <w:p w:rsidR="00B70E01" w:rsidRPr="00D65D35" w:rsidRDefault="00B70E01" w:rsidP="00501A0E">
            <w:pPr>
              <w:pStyle w:val="TableHeader"/>
              <w:rPr>
                <w:b w:val="0"/>
                <w:sz w:val="24"/>
                <w:szCs w:val="24"/>
              </w:rPr>
            </w:pPr>
            <w:r w:rsidRPr="00D65D35">
              <w:rPr>
                <w:b w:val="0"/>
                <w:sz w:val="24"/>
                <w:szCs w:val="24"/>
              </w:rPr>
              <w:t>Summative Assessment (OF Learning)</w:t>
            </w:r>
          </w:p>
        </w:tc>
        <w:tc>
          <w:tcPr>
            <w:tcW w:w="1372" w:type="pct"/>
          </w:tcPr>
          <w:p w:rsidR="00B70E01" w:rsidRPr="00D65D35" w:rsidRDefault="00B70E01" w:rsidP="00501A0E">
            <w:pPr>
              <w:pStyle w:val="TableHeader"/>
              <w:rPr>
                <w:b w:val="0"/>
                <w:sz w:val="24"/>
                <w:szCs w:val="24"/>
              </w:rPr>
            </w:pPr>
            <w:r w:rsidRPr="00D65D35">
              <w:rPr>
                <w:b w:val="0"/>
                <w:sz w:val="24"/>
                <w:szCs w:val="24"/>
              </w:rPr>
              <w:t>A final measure of learning.</w:t>
            </w:r>
          </w:p>
        </w:tc>
        <w:tc>
          <w:tcPr>
            <w:tcW w:w="1435" w:type="pct"/>
          </w:tcPr>
          <w:p w:rsidR="00B70E01" w:rsidRPr="00D65D35" w:rsidRDefault="00B70E01" w:rsidP="00501A0E">
            <w:pPr>
              <w:pStyle w:val="TableHeader"/>
              <w:rPr>
                <w:b w:val="0"/>
                <w:sz w:val="24"/>
                <w:szCs w:val="24"/>
              </w:rPr>
            </w:pPr>
            <w:r w:rsidRPr="00D65D35">
              <w:rPr>
                <w:b w:val="0"/>
                <w:sz w:val="24"/>
                <w:szCs w:val="24"/>
              </w:rPr>
              <w:t>A final paper</w:t>
            </w:r>
          </w:p>
        </w:tc>
        <w:tc>
          <w:tcPr>
            <w:tcW w:w="1442" w:type="pct"/>
          </w:tcPr>
          <w:p w:rsidR="00B70E01" w:rsidRPr="00D65D35" w:rsidRDefault="00B70E01" w:rsidP="00501A0E">
            <w:pPr>
              <w:pStyle w:val="TableHeader"/>
              <w:rPr>
                <w:b w:val="0"/>
                <w:sz w:val="24"/>
                <w:szCs w:val="24"/>
              </w:rPr>
            </w:pPr>
            <w:r w:rsidRPr="00D65D35">
              <w:rPr>
                <w:b w:val="0"/>
                <w:sz w:val="24"/>
                <w:szCs w:val="24"/>
              </w:rPr>
              <w:t>A college admission exam.</w:t>
            </w:r>
          </w:p>
        </w:tc>
      </w:tr>
      <w:tr w:rsidR="00B70E01" w:rsidRPr="00D65D35" w:rsidTr="00040ADD">
        <w:trPr>
          <w:trHeight w:val="675"/>
        </w:trPr>
        <w:tc>
          <w:tcPr>
            <w:tcW w:w="751" w:type="pct"/>
          </w:tcPr>
          <w:p w:rsidR="00B70E01" w:rsidRPr="00D65D35" w:rsidRDefault="00B70E01" w:rsidP="00501A0E">
            <w:pPr>
              <w:pStyle w:val="TableHeader"/>
              <w:rPr>
                <w:b w:val="0"/>
                <w:sz w:val="24"/>
                <w:szCs w:val="24"/>
              </w:rPr>
            </w:pPr>
            <w:r w:rsidRPr="00D65D35">
              <w:rPr>
                <w:b w:val="0"/>
                <w:sz w:val="24"/>
                <w:szCs w:val="24"/>
              </w:rPr>
              <w:t>Minisummative Assessment OF Learning)</w:t>
            </w:r>
          </w:p>
        </w:tc>
        <w:tc>
          <w:tcPr>
            <w:tcW w:w="1372" w:type="pct"/>
          </w:tcPr>
          <w:p w:rsidR="00B70E01" w:rsidRPr="00D65D35" w:rsidRDefault="00B70E01" w:rsidP="00501A0E">
            <w:pPr>
              <w:pStyle w:val="TableHeader"/>
              <w:rPr>
                <w:b w:val="0"/>
                <w:sz w:val="24"/>
                <w:szCs w:val="24"/>
              </w:rPr>
            </w:pPr>
            <w:r w:rsidRPr="00D65D35">
              <w:rPr>
                <w:b w:val="0"/>
                <w:sz w:val="24"/>
                <w:szCs w:val="24"/>
              </w:rPr>
              <w:t>An interim measure of learning that is based on the complete set of content of a marking period or course of study.</w:t>
            </w:r>
          </w:p>
        </w:tc>
        <w:tc>
          <w:tcPr>
            <w:tcW w:w="1435" w:type="pct"/>
          </w:tcPr>
          <w:p w:rsidR="00B70E01" w:rsidRPr="00D65D35" w:rsidRDefault="00B70E01" w:rsidP="00501A0E">
            <w:pPr>
              <w:pStyle w:val="TableHeader"/>
              <w:rPr>
                <w:b w:val="0"/>
                <w:sz w:val="24"/>
                <w:szCs w:val="24"/>
              </w:rPr>
            </w:pPr>
            <w:r w:rsidRPr="00D65D35">
              <w:rPr>
                <w:b w:val="0"/>
                <w:sz w:val="24"/>
                <w:szCs w:val="24"/>
              </w:rPr>
              <w:t>A commercial K-12 assessment that given three times per year in Reading and Mathematics</w:t>
            </w:r>
          </w:p>
        </w:tc>
        <w:tc>
          <w:tcPr>
            <w:tcW w:w="1442" w:type="pct"/>
          </w:tcPr>
          <w:p w:rsidR="00B70E01" w:rsidRPr="00D65D35" w:rsidRDefault="00B70E01" w:rsidP="00501A0E">
            <w:pPr>
              <w:pStyle w:val="TableHeader"/>
              <w:rPr>
                <w:b w:val="0"/>
                <w:sz w:val="24"/>
                <w:szCs w:val="24"/>
              </w:rPr>
            </w:pPr>
            <w:r w:rsidRPr="00D65D35">
              <w:rPr>
                <w:b w:val="0"/>
                <w:sz w:val="24"/>
                <w:szCs w:val="24"/>
              </w:rPr>
              <w:t>Grades K-12</w:t>
            </w:r>
          </w:p>
        </w:tc>
      </w:tr>
      <w:tr w:rsidR="00B70E01" w:rsidRPr="00D65D35" w:rsidTr="00040ADD">
        <w:trPr>
          <w:trHeight w:val="675"/>
        </w:trPr>
        <w:tc>
          <w:tcPr>
            <w:tcW w:w="751" w:type="pct"/>
          </w:tcPr>
          <w:p w:rsidR="00B70E01" w:rsidRPr="00D65D35" w:rsidRDefault="00B70E01" w:rsidP="00501A0E">
            <w:pPr>
              <w:pStyle w:val="TableHeader"/>
              <w:rPr>
                <w:b w:val="0"/>
                <w:sz w:val="24"/>
                <w:szCs w:val="24"/>
              </w:rPr>
            </w:pPr>
            <w:r w:rsidRPr="00D65D35">
              <w:rPr>
                <w:b w:val="0"/>
                <w:sz w:val="24"/>
                <w:szCs w:val="24"/>
              </w:rPr>
              <w:lastRenderedPageBreak/>
              <w:t>Large-Unit Interim</w:t>
            </w:r>
          </w:p>
          <w:p w:rsidR="00B70E01" w:rsidRPr="00D65D35" w:rsidRDefault="00B70E01" w:rsidP="00501A0E">
            <w:pPr>
              <w:pStyle w:val="TableHeader"/>
              <w:rPr>
                <w:b w:val="0"/>
                <w:sz w:val="24"/>
                <w:szCs w:val="24"/>
              </w:rPr>
            </w:pPr>
            <w:r w:rsidRPr="00D65D35">
              <w:rPr>
                <w:b w:val="0"/>
                <w:sz w:val="24"/>
                <w:szCs w:val="24"/>
              </w:rPr>
              <w:t>Assessment (OF Learning)</w:t>
            </w:r>
          </w:p>
        </w:tc>
        <w:tc>
          <w:tcPr>
            <w:tcW w:w="1372" w:type="pct"/>
          </w:tcPr>
          <w:p w:rsidR="00B70E01" w:rsidRPr="00D65D35" w:rsidRDefault="00B70E01" w:rsidP="00501A0E">
            <w:pPr>
              <w:pStyle w:val="TableHeader"/>
              <w:rPr>
                <w:b w:val="0"/>
                <w:sz w:val="24"/>
                <w:szCs w:val="24"/>
              </w:rPr>
            </w:pPr>
            <w:r w:rsidRPr="00D65D35">
              <w:rPr>
                <w:b w:val="0"/>
                <w:sz w:val="24"/>
                <w:szCs w:val="24"/>
              </w:rPr>
              <w:t>An interim measure of learning before the final measure, based on a relatively large subset of the content of an entire marking period</w:t>
            </w:r>
          </w:p>
        </w:tc>
        <w:tc>
          <w:tcPr>
            <w:tcW w:w="1435" w:type="pct"/>
          </w:tcPr>
          <w:p w:rsidR="00B70E01" w:rsidRPr="00D65D35" w:rsidRDefault="00B70E01" w:rsidP="00501A0E">
            <w:pPr>
              <w:pStyle w:val="TableHeader"/>
              <w:rPr>
                <w:b w:val="0"/>
                <w:sz w:val="24"/>
                <w:szCs w:val="24"/>
              </w:rPr>
            </w:pPr>
            <w:r w:rsidRPr="00D65D35">
              <w:rPr>
                <w:b w:val="0"/>
                <w:sz w:val="24"/>
                <w:szCs w:val="24"/>
              </w:rPr>
              <w:t>A midterm presentation.</w:t>
            </w:r>
          </w:p>
        </w:tc>
        <w:tc>
          <w:tcPr>
            <w:tcW w:w="1442" w:type="pct"/>
          </w:tcPr>
          <w:p w:rsidR="00B70E01" w:rsidRPr="00D65D35" w:rsidRDefault="00B70E01" w:rsidP="00501A0E">
            <w:pPr>
              <w:pStyle w:val="TableHeader"/>
              <w:rPr>
                <w:b w:val="0"/>
                <w:sz w:val="24"/>
                <w:szCs w:val="24"/>
              </w:rPr>
            </w:pPr>
            <w:r w:rsidRPr="00D65D35">
              <w:rPr>
                <w:b w:val="0"/>
                <w:sz w:val="24"/>
                <w:szCs w:val="24"/>
              </w:rPr>
              <w:t>An assessment addressing a month’s worth of units.</w:t>
            </w:r>
          </w:p>
        </w:tc>
      </w:tr>
      <w:tr w:rsidR="00B70E01" w:rsidRPr="00D65D35" w:rsidTr="00040ADD">
        <w:trPr>
          <w:trHeight w:val="675"/>
        </w:trPr>
        <w:tc>
          <w:tcPr>
            <w:tcW w:w="751" w:type="pct"/>
          </w:tcPr>
          <w:p w:rsidR="00B70E01" w:rsidRPr="00D65D35" w:rsidRDefault="00B70E01" w:rsidP="00501A0E">
            <w:pPr>
              <w:pStyle w:val="TableHeader"/>
              <w:rPr>
                <w:b w:val="0"/>
                <w:sz w:val="24"/>
                <w:szCs w:val="24"/>
              </w:rPr>
            </w:pPr>
            <w:r w:rsidRPr="00D65D35">
              <w:rPr>
                <w:b w:val="0"/>
                <w:sz w:val="24"/>
                <w:szCs w:val="24"/>
              </w:rPr>
              <w:t>Small-Unit Interim Assessment (OF Learning)</w:t>
            </w:r>
          </w:p>
        </w:tc>
        <w:tc>
          <w:tcPr>
            <w:tcW w:w="1372" w:type="pct"/>
          </w:tcPr>
          <w:p w:rsidR="00B70E01" w:rsidRPr="00D65D35" w:rsidRDefault="00B70E01" w:rsidP="00501A0E">
            <w:pPr>
              <w:pStyle w:val="TableHeader"/>
              <w:rPr>
                <w:b w:val="0"/>
                <w:sz w:val="24"/>
                <w:szCs w:val="24"/>
              </w:rPr>
            </w:pPr>
            <w:r w:rsidRPr="00D65D35">
              <w:rPr>
                <w:b w:val="0"/>
                <w:sz w:val="24"/>
                <w:szCs w:val="24"/>
              </w:rPr>
              <w:t>An interim measure of learning before the final measure, based on a relatively small subset of the content of an entire marking period.</w:t>
            </w:r>
          </w:p>
        </w:tc>
        <w:tc>
          <w:tcPr>
            <w:tcW w:w="1435" w:type="pct"/>
          </w:tcPr>
          <w:p w:rsidR="00B70E01" w:rsidRPr="00D65D35" w:rsidRDefault="00B70E01" w:rsidP="00501A0E">
            <w:pPr>
              <w:pStyle w:val="TableHeader"/>
              <w:rPr>
                <w:b w:val="0"/>
                <w:sz w:val="24"/>
                <w:szCs w:val="24"/>
              </w:rPr>
            </w:pPr>
            <w:r w:rsidRPr="00D65D35">
              <w:rPr>
                <w:b w:val="0"/>
                <w:sz w:val="24"/>
                <w:szCs w:val="24"/>
              </w:rPr>
              <w:t>A weekly writing assignment</w:t>
            </w:r>
          </w:p>
        </w:tc>
        <w:tc>
          <w:tcPr>
            <w:tcW w:w="1442" w:type="pct"/>
          </w:tcPr>
          <w:p w:rsidR="00B70E01" w:rsidRPr="00D65D35" w:rsidRDefault="00B70E01" w:rsidP="00501A0E">
            <w:pPr>
              <w:pStyle w:val="TableHeader"/>
              <w:rPr>
                <w:b w:val="0"/>
                <w:sz w:val="24"/>
                <w:szCs w:val="24"/>
              </w:rPr>
            </w:pPr>
            <w:r w:rsidRPr="00D65D35">
              <w:rPr>
                <w:b w:val="0"/>
                <w:sz w:val="24"/>
                <w:szCs w:val="24"/>
              </w:rPr>
              <w:t>Tests administered every two weeks.</w:t>
            </w:r>
          </w:p>
        </w:tc>
      </w:tr>
    </w:tbl>
    <w:p w:rsidR="00B92E2E" w:rsidRDefault="00B92E2E" w:rsidP="00FC28A5">
      <w:pPr>
        <w:rPr>
          <w:rFonts w:eastAsia="Times New Roman"/>
        </w:rPr>
      </w:pPr>
    </w:p>
    <w:p w:rsidR="000C46EE" w:rsidRDefault="00386619"/>
    <w:sectPr w:rsidR="000C46EE" w:rsidSect="00040ADD">
      <w:pgSz w:w="15840" w:h="12240" w:orient="landscape"/>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386619" w:rsidRDefault="00386619" w:rsidP="00FC28A5">
      <w:r>
        <w:separator/>
      </w:r>
    </w:p>
  </w:endnote>
  <w:endnote w:type="continuationSeparator" w:id="0">
    <w:p w:rsidR="00386619" w:rsidRDefault="00386619" w:rsidP="00FC28A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panose1 w:val="020B06040202020202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Style w:val="PageNumber"/>
      </w:rPr>
      <w:id w:val="-842853723"/>
      <w:docPartObj>
        <w:docPartGallery w:val="Page Numbers (Bottom of Page)"/>
        <w:docPartUnique/>
      </w:docPartObj>
    </w:sdtPr>
    <w:sdtEndPr>
      <w:rPr>
        <w:rStyle w:val="PageNumber"/>
      </w:rPr>
    </w:sdtEndPr>
    <w:sdtContent>
      <w:p w:rsidR="00FC28A5" w:rsidRDefault="00FC28A5" w:rsidP="00080C8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rsidR="00FC28A5" w:rsidRDefault="00FC28A5" w:rsidP="007B6F67">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Pr="008F4B0A" w:rsidRDefault="00FC28A5" w:rsidP="00FC28A5">
    <w:pPr>
      <w:pStyle w:val="Heading2"/>
      <w:jc w:val="left"/>
      <w:rPr>
        <w:rFonts w:asciiTheme="majorHAnsi" w:hAnsiTheme="majorHAnsi" w:cstheme="majorHAnsi"/>
        <w:sz w:val="18"/>
        <w:szCs w:val="18"/>
      </w:rPr>
    </w:pPr>
    <w:bookmarkStart w:id="0" w:name="_Toc515627626"/>
    <w:r w:rsidRPr="008F4B0A">
      <w:rPr>
        <w:rFonts w:asciiTheme="majorHAnsi" w:hAnsiTheme="majorHAnsi" w:cstheme="majorHAnsi"/>
        <w:sz w:val="18"/>
        <w:szCs w:val="18"/>
      </w:rPr>
      <w:t>License</w:t>
    </w:r>
    <w:bookmarkEnd w:id="0"/>
  </w:p>
  <w:tbl>
    <w:tblPr>
      <w:tblW w:w="5000" w:type="pct"/>
      <w:tblBorders>
        <w:top w:val="single" w:sz="4" w:space="0" w:color="4472C4" w:themeColor="accent1"/>
        <w:left w:val="single" w:sz="4" w:space="0" w:color="4472C4" w:themeColor="accent1"/>
        <w:bottom w:val="single" w:sz="4" w:space="0" w:color="4472C4" w:themeColor="accent1"/>
        <w:right w:val="single" w:sz="4" w:space="0" w:color="4472C4"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FC28A5" w:rsidRPr="008F4B0A" w:rsidTr="00501A0E">
      <w:tc>
        <w:tcPr>
          <w:tcW w:w="4423" w:type="pct"/>
          <w:vAlign w:val="center"/>
        </w:tcPr>
        <w:p w:rsidR="00FC28A5" w:rsidRPr="008F4B0A" w:rsidRDefault="00FC28A5" w:rsidP="00FC28A5">
          <w:pPr>
            <w:pStyle w:val="TableContents"/>
            <w:rPr>
              <w:rFonts w:asciiTheme="majorHAnsi" w:hAnsiTheme="majorHAnsi" w:cstheme="majorHAnsi"/>
              <w:sz w:val="18"/>
            </w:rPr>
          </w:pPr>
          <w:r w:rsidRPr="008F4B0A">
            <w:rPr>
              <w:rFonts w:asciiTheme="majorHAnsi" w:hAnsiTheme="majorHAnsi" w:cstheme="majorHAnsi"/>
              <w:sz w:val="18"/>
            </w:rPr>
            <w:t xml:space="preserve">This Toolkit is licensed under a </w:t>
          </w:r>
          <w:hyperlink r:id="rId1" w:history="1">
            <w:r w:rsidRPr="008F4B0A">
              <w:rPr>
                <w:rStyle w:val="Hyperlink"/>
                <w:rFonts w:asciiTheme="majorHAnsi" w:hAnsiTheme="majorHAnsi" w:cstheme="majorHAnsi"/>
                <w:sz w:val="18"/>
              </w:rPr>
              <w:t>Creative Commons Attribution 4.0 International License</w:t>
            </w:r>
          </w:hyperlink>
          <w:r w:rsidRPr="008F4B0A">
            <w:rPr>
              <w:rFonts w:asciiTheme="majorHAnsi" w:hAnsiTheme="majorHAnsi" w:cstheme="majorHAnsi"/>
              <w:sz w:val="18"/>
            </w:rPr>
            <w:t xml:space="preserve"> (CC BY 4.0).</w:t>
          </w:r>
        </w:p>
      </w:tc>
      <w:tc>
        <w:tcPr>
          <w:tcW w:w="577" w:type="pct"/>
          <w:vAlign w:val="center"/>
        </w:tcPr>
        <w:p w:rsidR="00FC28A5" w:rsidRPr="008F4B0A" w:rsidRDefault="00FC28A5" w:rsidP="00FC28A5">
          <w:pPr>
            <w:pStyle w:val="Spacer"/>
            <w:rPr>
              <w:rFonts w:asciiTheme="majorHAnsi" w:hAnsiTheme="majorHAnsi" w:cstheme="majorHAnsi"/>
              <w:sz w:val="18"/>
              <w:szCs w:val="18"/>
            </w:rPr>
          </w:pPr>
          <w:r w:rsidRPr="008F4B0A">
            <w:rPr>
              <w:rFonts w:asciiTheme="majorHAnsi" w:hAnsiTheme="majorHAnsi" w:cstheme="majorHAnsi"/>
              <w:noProof/>
              <w:sz w:val="18"/>
              <w:szCs w:val="18"/>
            </w:rPr>
            <w:drawing>
              <wp:inline distT="0" distB="0" distL="0" distR="0" wp14:anchorId="3086634F" wp14:editId="2E9CA91D">
                <wp:extent cx="1069848" cy="365760"/>
                <wp:effectExtent l="0" t="0" r="0" b="2540"/>
                <wp:docPr id="39" name="Graphic 39">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rsidR="00FC28A5" w:rsidRPr="008F4B0A" w:rsidRDefault="00FC28A5" w:rsidP="00FC28A5">
    <w:pPr>
      <w:pStyle w:val="Spacer"/>
      <w:rPr>
        <w:rFonts w:asciiTheme="majorHAnsi" w:hAnsiTheme="majorHAnsi" w:cstheme="majorHAnsi"/>
        <w:sz w:val="18"/>
        <w:szCs w:val="18"/>
      </w:rPr>
    </w:pPr>
    <w:bookmarkStart w:id="1" w:name="_Toc513434182"/>
  </w:p>
  <w:bookmarkEnd w:id="1"/>
  <w:p w:rsidR="00FC28A5" w:rsidRPr="008F4B0A" w:rsidRDefault="00FC28A5" w:rsidP="00FC28A5">
    <w:pPr>
      <w:rPr>
        <w:rFonts w:asciiTheme="majorHAnsi" w:hAnsiTheme="majorHAnsi" w:cstheme="majorHAnsi"/>
        <w:sz w:val="18"/>
        <w:szCs w:val="18"/>
      </w:rPr>
    </w:pPr>
    <w:r w:rsidRPr="008F4B0A">
      <w:rPr>
        <w:rFonts w:asciiTheme="majorHAnsi" w:hAnsiTheme="majorHAnsi" w:cstheme="majorHAnsi"/>
        <w:sz w:val="18"/>
        <w:szCs w:val="18"/>
      </w:rPr>
      <w:t xml:space="preserve">The latest version of this Toolkit can be found at the Center for Assessment’s website at </w:t>
    </w:r>
    <w:hyperlink r:id="rId4" w:history="1">
      <w:r w:rsidRPr="008F4B0A">
        <w:rPr>
          <w:rStyle w:val="Hyperlink"/>
          <w:rFonts w:asciiTheme="majorHAnsi" w:hAnsiTheme="majorHAnsi" w:cstheme="majorHAnsi"/>
          <w:sz w:val="18"/>
          <w:szCs w:val="18"/>
        </w:rPr>
        <w:t>https://www.nciea.org/dasd-toolkit</w:t>
      </w:r>
    </w:hyperlink>
    <w:r w:rsidRPr="008F4B0A">
      <w:rPr>
        <w:rFonts w:asciiTheme="majorHAnsi" w:hAnsiTheme="majorHAnsi" w:cstheme="majorHAnsi"/>
        <w:sz w:val="18"/>
        <w:szCs w:val="18"/>
      </w:rPr>
      <w:t>.</w:t>
    </w:r>
  </w:p>
  <w:p w:rsidR="00FC28A5" w:rsidRDefault="00FC28A5" w:rsidP="00FC28A5">
    <w:pPr>
      <w:pStyle w:val="Heading2"/>
      <w:jc w:val="left"/>
      <w:rPr>
        <w:rFonts w:asciiTheme="majorHAnsi" w:hAnsiTheme="majorHAnsi" w:cstheme="majorHAnsi"/>
        <w:sz w:val="18"/>
        <w:szCs w:val="18"/>
      </w:rPr>
    </w:pPr>
    <w:bookmarkStart w:id="2" w:name="_Toc515627628"/>
  </w:p>
  <w:p w:rsidR="00FC28A5" w:rsidRPr="008F4B0A" w:rsidRDefault="00FC28A5" w:rsidP="00FC28A5">
    <w:pPr>
      <w:pStyle w:val="Heading2"/>
      <w:jc w:val="left"/>
      <w:rPr>
        <w:rFonts w:asciiTheme="majorHAnsi" w:hAnsiTheme="majorHAnsi" w:cstheme="majorHAnsi"/>
        <w:sz w:val="18"/>
        <w:szCs w:val="18"/>
      </w:rPr>
    </w:pPr>
    <w:r w:rsidRPr="008F4B0A">
      <w:rPr>
        <w:rFonts w:asciiTheme="majorHAnsi" w:hAnsiTheme="majorHAnsi" w:cstheme="majorHAnsi"/>
        <w:sz w:val="18"/>
        <w:szCs w:val="18"/>
      </w:rPr>
      <w:t>Recommended Citation</w:t>
    </w:r>
    <w:bookmarkEnd w:id="2"/>
  </w:p>
  <w:p w:rsidR="00FC28A5" w:rsidRPr="00FC28A5" w:rsidRDefault="00FC28A5" w:rsidP="00FC28A5">
    <w:pPr>
      <w:pStyle w:val="Bibliography"/>
      <w:rPr>
        <w:rFonts w:asciiTheme="majorHAnsi" w:hAnsiTheme="majorHAnsi" w:cstheme="majorHAnsi"/>
        <w:sz w:val="18"/>
        <w:szCs w:val="18"/>
      </w:rPr>
    </w:pPr>
    <w:r w:rsidRPr="008F4B0A">
      <w:rPr>
        <w:rFonts w:asciiTheme="majorHAnsi" w:hAnsiTheme="majorHAnsi" w:cstheme="majorHAnsi"/>
        <w:sz w:val="18"/>
        <w:szCs w:val="18"/>
      </w:rPr>
      <w:t xml:space="preserve">Martineau, J., Dewsbury-White, K., Roeber, E., Vorenkamp, E., Snead, S., Flukes, J. (2018). </w:t>
    </w:r>
    <w:r w:rsidRPr="008F4B0A">
      <w:rPr>
        <w:rFonts w:asciiTheme="majorHAnsi" w:hAnsiTheme="majorHAnsi" w:cstheme="majorHAnsi"/>
        <w:i/>
        <w:sz w:val="18"/>
        <w:szCs w:val="18"/>
      </w:rPr>
      <w:t>District Assessment System Design Toolkit</w:t>
    </w:r>
    <w:r w:rsidRPr="008F4B0A">
      <w:rPr>
        <w:rFonts w:asciiTheme="majorHAnsi" w:hAnsiTheme="majorHAnsi" w:cstheme="majorHAnsi"/>
        <w:sz w:val="18"/>
        <w:szCs w:val="18"/>
      </w:rPr>
      <w:t xml:space="preserve">. Dover, NH: National Center for the Improvement of Educational Assessment (Center for Assessment). Available at </w:t>
    </w:r>
    <w:hyperlink r:id="rId5" w:history="1">
      <w:r w:rsidRPr="008F4B0A">
        <w:rPr>
          <w:rStyle w:val="Hyperlink"/>
          <w:rFonts w:asciiTheme="majorHAnsi" w:hAnsiTheme="majorHAnsi" w:cstheme="majorHAnsi"/>
          <w:sz w:val="18"/>
          <w:szCs w:val="18"/>
        </w:rPr>
        <w:t>https://www.nciea.org/dasd-toolkit/</w:t>
      </w:r>
    </w:hyperlink>
    <w:r w:rsidRPr="008F4B0A">
      <w:rPr>
        <w:rFonts w:asciiTheme="majorHAnsi" w:hAnsiTheme="majorHAnsi" w:cstheme="majorHAnsi"/>
        <w:sz w:val="18"/>
        <w:szCs w:val="18"/>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Default="00FC28A5" w:rsidP="00AF2E23">
    <w:pPr>
      <w:pStyle w:val="Footer"/>
    </w:pPr>
  </w:p>
  <w:p w:rsidR="00FC28A5" w:rsidRPr="00E901DF" w:rsidRDefault="00FC28A5" w:rsidP="00AF2E23">
    <w:pPr>
      <w:pStyle w:val="Footer"/>
      <w:rPr>
        <w:sz w:val="2"/>
        <w:szCs w:val="2"/>
      </w:rPr>
    </w:pPr>
  </w:p>
  <w:p w:rsidR="00FC28A5" w:rsidRPr="00840753" w:rsidRDefault="00FC28A5" w:rsidP="00AF2E23">
    <w:pPr>
      <w:pStyle w:val="Footer"/>
      <w:rPr>
        <w:sz w:val="2"/>
        <w:szCs w:val="2"/>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Default="00FC28A5" w:rsidP="00AF2E23">
    <w:pPr>
      <w:pStyle w:val="Foote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756"/>
      <w:gridCol w:w="12292"/>
      <w:gridCol w:w="5672"/>
    </w:tblGrid>
    <w:tr w:rsidR="00FC28A5" w:rsidRPr="00AC1905" w:rsidTr="00080C88">
      <w:tc>
        <w:tcPr>
          <w:tcW w:w="20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b/>
              <w:noProof/>
              <w:sz w:val="16"/>
              <w:szCs w:val="16"/>
            </w:rPr>
            <w:drawing>
              <wp:inline distT="0" distB="0" distL="0" distR="0" wp14:anchorId="7D0E79DB" wp14:editId="2F65AFAF">
                <wp:extent cx="228600" cy="22860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1-07 at 1.40.25 PM.png"/>
                        <pic:cNvPicPr/>
                      </pic:nvPicPr>
                      <pic:blipFill>
                        <a:blip r:embed="rId1">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p>
      </w:tc>
      <w:tc>
        <w:tcPr>
          <w:tcW w:w="325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sz w:val="16"/>
              <w:szCs w:val="16"/>
            </w:rPr>
            <w:t>District Assessment System Design Toolkit</w:t>
          </w:r>
        </w:p>
      </w:tc>
      <w:tc>
        <w:tcPr>
          <w:tcW w:w="1500" w:type="pct"/>
          <w:vAlign w:val="center"/>
        </w:tcPr>
        <w:p w:rsidR="00FC28A5" w:rsidRPr="00AC1905" w:rsidRDefault="00FC28A5" w:rsidP="00080C88">
          <w:pPr>
            <w:pStyle w:val="Footer"/>
            <w:tabs>
              <w:tab w:val="clear" w:pos="9360"/>
            </w:tabs>
            <w:jc w:val="right"/>
            <w:rPr>
              <w:rFonts w:asciiTheme="minorHAnsi" w:hAnsiTheme="minorHAnsi"/>
              <w:sz w:val="16"/>
              <w:szCs w:val="16"/>
            </w:rPr>
          </w:pPr>
          <w:r>
            <w:rPr>
              <w:rFonts w:asciiTheme="minorHAnsi" w:hAnsiTheme="minorHAnsi"/>
              <w:sz w:val="16"/>
              <w:szCs w:val="16"/>
            </w:rPr>
            <w:t>End of Project Report</w:t>
          </w:r>
          <w:r w:rsidRPr="00AC1905">
            <w:rPr>
              <w:rFonts w:asciiTheme="minorHAnsi" w:hAnsiTheme="minorHAnsi"/>
              <w:sz w:val="16"/>
              <w:szCs w:val="16"/>
            </w:rPr>
            <w:t xml:space="preserve"> – </w:t>
          </w:r>
          <w:r w:rsidRPr="00CC2566">
            <w:rPr>
              <w:rStyle w:val="PageNumber"/>
              <w:rFonts w:asciiTheme="majorHAnsi" w:hAnsiTheme="majorHAnsi"/>
              <w:color w:val="2F5496" w:themeColor="accent1" w:themeShade="BF"/>
              <w:sz w:val="16"/>
              <w:szCs w:val="16"/>
            </w:rPr>
            <w:fldChar w:fldCharType="begin"/>
          </w:r>
          <w:r w:rsidRPr="00CC2566">
            <w:rPr>
              <w:rStyle w:val="PageNumber"/>
              <w:rFonts w:asciiTheme="majorHAnsi" w:hAnsiTheme="majorHAnsi"/>
              <w:color w:val="2F5496" w:themeColor="accent1" w:themeShade="BF"/>
              <w:sz w:val="16"/>
              <w:szCs w:val="16"/>
            </w:rPr>
            <w:instrText xml:space="preserve">PAGE  </w:instrText>
          </w:r>
          <w:r w:rsidRPr="00CC2566">
            <w:rPr>
              <w:rStyle w:val="PageNumber"/>
              <w:rFonts w:asciiTheme="majorHAnsi" w:hAnsiTheme="majorHAnsi"/>
              <w:color w:val="2F5496" w:themeColor="accent1" w:themeShade="BF"/>
              <w:sz w:val="16"/>
              <w:szCs w:val="16"/>
            </w:rPr>
            <w:fldChar w:fldCharType="separate"/>
          </w:r>
          <w:r>
            <w:rPr>
              <w:rStyle w:val="PageNumber"/>
              <w:rFonts w:asciiTheme="majorHAnsi" w:hAnsiTheme="majorHAnsi"/>
              <w:noProof/>
              <w:color w:val="2F5496" w:themeColor="accent1" w:themeShade="BF"/>
              <w:sz w:val="16"/>
              <w:szCs w:val="16"/>
            </w:rPr>
            <w:t>2</w:t>
          </w:r>
          <w:r w:rsidRPr="00CC2566">
            <w:rPr>
              <w:rStyle w:val="PageNumber"/>
              <w:rFonts w:asciiTheme="majorHAnsi" w:hAnsiTheme="majorHAnsi"/>
              <w:color w:val="2F5496" w:themeColor="accent1" w:themeShade="BF"/>
              <w:sz w:val="16"/>
              <w:szCs w:val="16"/>
            </w:rPr>
            <w:fldChar w:fldCharType="end"/>
          </w:r>
        </w:p>
      </w:tc>
    </w:tr>
  </w:tbl>
  <w:p w:rsidR="00FC28A5" w:rsidRPr="00E901DF" w:rsidRDefault="00FC28A5" w:rsidP="00AF2E23">
    <w:pPr>
      <w:pStyle w:val="Footer"/>
      <w:rPr>
        <w:sz w:val="2"/>
        <w:szCs w:val="2"/>
      </w:rPr>
    </w:pPr>
  </w:p>
  <w:p w:rsidR="00FC28A5" w:rsidRPr="00840753" w:rsidRDefault="00FC28A5" w:rsidP="00AF2E23">
    <w:pPr>
      <w:pStyle w:val="Footer"/>
      <w:rPr>
        <w:sz w:val="2"/>
        <w:szCs w:val="2"/>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Default="00FC28A5" w:rsidP="00AF2E23">
    <w:pPr>
      <w:pStyle w:val="Foote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78"/>
      <w:gridCol w:w="6146"/>
      <w:gridCol w:w="2836"/>
    </w:tblGrid>
    <w:tr w:rsidR="00FC28A5" w:rsidRPr="00AC1905" w:rsidTr="00080C88">
      <w:tc>
        <w:tcPr>
          <w:tcW w:w="20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b/>
              <w:noProof/>
              <w:sz w:val="16"/>
              <w:szCs w:val="16"/>
            </w:rPr>
            <w:drawing>
              <wp:inline distT="0" distB="0" distL="0" distR="0" wp14:anchorId="6B11A06B" wp14:editId="1E440C87">
                <wp:extent cx="228600" cy="2286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1-07 at 1.40.25 PM.png"/>
                        <pic:cNvPicPr/>
                      </pic:nvPicPr>
                      <pic:blipFill>
                        <a:blip r:embed="rId1">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p>
      </w:tc>
      <w:tc>
        <w:tcPr>
          <w:tcW w:w="325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sz w:val="16"/>
              <w:szCs w:val="16"/>
            </w:rPr>
            <w:t>District Assessment System Design Toolkit</w:t>
          </w:r>
        </w:p>
      </w:tc>
      <w:tc>
        <w:tcPr>
          <w:tcW w:w="1500" w:type="pct"/>
          <w:vAlign w:val="center"/>
        </w:tcPr>
        <w:p w:rsidR="00FC28A5" w:rsidRPr="00AC1905" w:rsidRDefault="00FC28A5" w:rsidP="00080C88">
          <w:pPr>
            <w:pStyle w:val="Footer"/>
            <w:tabs>
              <w:tab w:val="clear" w:pos="9360"/>
            </w:tabs>
            <w:jc w:val="right"/>
            <w:rPr>
              <w:rFonts w:asciiTheme="minorHAnsi" w:hAnsiTheme="minorHAnsi"/>
              <w:sz w:val="16"/>
              <w:szCs w:val="16"/>
            </w:rPr>
          </w:pPr>
          <w:r>
            <w:rPr>
              <w:rFonts w:asciiTheme="minorHAnsi" w:hAnsiTheme="minorHAnsi"/>
              <w:sz w:val="16"/>
              <w:szCs w:val="16"/>
            </w:rPr>
            <w:t>End of Project Report</w:t>
          </w:r>
          <w:r w:rsidRPr="00AC1905">
            <w:rPr>
              <w:rFonts w:asciiTheme="minorHAnsi" w:hAnsiTheme="minorHAnsi"/>
              <w:sz w:val="16"/>
              <w:szCs w:val="16"/>
            </w:rPr>
            <w:t xml:space="preserve"> – </w:t>
          </w:r>
          <w:r w:rsidRPr="00CC2566">
            <w:rPr>
              <w:rStyle w:val="PageNumber"/>
              <w:rFonts w:asciiTheme="majorHAnsi" w:hAnsiTheme="majorHAnsi"/>
              <w:color w:val="2F5496" w:themeColor="accent1" w:themeShade="BF"/>
              <w:sz w:val="16"/>
              <w:szCs w:val="16"/>
            </w:rPr>
            <w:fldChar w:fldCharType="begin"/>
          </w:r>
          <w:r w:rsidRPr="00CC2566">
            <w:rPr>
              <w:rStyle w:val="PageNumber"/>
              <w:rFonts w:asciiTheme="majorHAnsi" w:hAnsiTheme="majorHAnsi"/>
              <w:color w:val="2F5496" w:themeColor="accent1" w:themeShade="BF"/>
              <w:sz w:val="16"/>
              <w:szCs w:val="16"/>
            </w:rPr>
            <w:instrText xml:space="preserve">PAGE  </w:instrText>
          </w:r>
          <w:r w:rsidRPr="00CC2566">
            <w:rPr>
              <w:rStyle w:val="PageNumber"/>
              <w:rFonts w:asciiTheme="majorHAnsi" w:hAnsiTheme="majorHAnsi"/>
              <w:color w:val="2F5496" w:themeColor="accent1" w:themeShade="BF"/>
              <w:sz w:val="16"/>
              <w:szCs w:val="16"/>
            </w:rPr>
            <w:fldChar w:fldCharType="separate"/>
          </w:r>
          <w:r>
            <w:rPr>
              <w:rStyle w:val="PageNumber"/>
              <w:rFonts w:asciiTheme="majorHAnsi" w:hAnsiTheme="majorHAnsi"/>
              <w:noProof/>
              <w:color w:val="2F5496" w:themeColor="accent1" w:themeShade="BF"/>
              <w:sz w:val="16"/>
              <w:szCs w:val="16"/>
            </w:rPr>
            <w:t>2</w:t>
          </w:r>
          <w:r w:rsidRPr="00CC2566">
            <w:rPr>
              <w:rStyle w:val="PageNumber"/>
              <w:rFonts w:asciiTheme="majorHAnsi" w:hAnsiTheme="majorHAnsi"/>
              <w:color w:val="2F5496" w:themeColor="accent1" w:themeShade="BF"/>
              <w:sz w:val="16"/>
              <w:szCs w:val="16"/>
            </w:rPr>
            <w:fldChar w:fldCharType="end"/>
          </w:r>
        </w:p>
      </w:tc>
    </w:tr>
  </w:tbl>
  <w:p w:rsidR="00FC28A5" w:rsidRPr="00E901DF" w:rsidRDefault="00FC28A5" w:rsidP="00AF2E23">
    <w:pPr>
      <w:pStyle w:val="Footer"/>
      <w:rPr>
        <w:sz w:val="2"/>
        <w:szCs w:val="2"/>
      </w:rPr>
    </w:pPr>
  </w:p>
  <w:p w:rsidR="00FC28A5" w:rsidRPr="00840753" w:rsidRDefault="00FC28A5" w:rsidP="00AF2E23">
    <w:pPr>
      <w:pStyle w:val="Footer"/>
      <w:rPr>
        <w:sz w:val="2"/>
        <w:szCs w:val="2"/>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Default="00FC28A5" w:rsidP="00AF2E23">
    <w:pPr>
      <w:pStyle w:val="Footer"/>
    </w:pPr>
  </w:p>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78"/>
      <w:gridCol w:w="6146"/>
      <w:gridCol w:w="2836"/>
    </w:tblGrid>
    <w:tr w:rsidR="00FC28A5" w:rsidRPr="00AC1905" w:rsidTr="00080C88">
      <w:tc>
        <w:tcPr>
          <w:tcW w:w="20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b/>
              <w:noProof/>
              <w:sz w:val="16"/>
              <w:szCs w:val="16"/>
            </w:rPr>
            <w:drawing>
              <wp:inline distT="0" distB="0" distL="0" distR="0" wp14:anchorId="33A16100" wp14:editId="5112FB31">
                <wp:extent cx="228600" cy="2286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Screen Shot 2018-01-07 at 1.40.25 PM.png"/>
                        <pic:cNvPicPr/>
                      </pic:nvPicPr>
                      <pic:blipFill>
                        <a:blip r:embed="rId1">
                          <a:extLst>
                            <a:ext uri="{28A0092B-C50C-407E-A947-70E740481C1C}">
                              <a14:useLocalDpi xmlns:a14="http://schemas.microsoft.com/office/drawing/2010/main" val="0"/>
                            </a:ext>
                          </a:extLst>
                        </a:blip>
                        <a:stretch>
                          <a:fillRect/>
                        </a:stretch>
                      </pic:blipFill>
                      <pic:spPr>
                        <a:xfrm>
                          <a:off x="0" y="0"/>
                          <a:ext cx="228600" cy="228600"/>
                        </a:xfrm>
                        <a:prstGeom prst="rect">
                          <a:avLst/>
                        </a:prstGeom>
                      </pic:spPr>
                    </pic:pic>
                  </a:graphicData>
                </a:graphic>
              </wp:inline>
            </w:drawing>
          </w:r>
        </w:p>
      </w:tc>
      <w:tc>
        <w:tcPr>
          <w:tcW w:w="3250" w:type="pct"/>
          <w:vAlign w:val="center"/>
        </w:tcPr>
        <w:p w:rsidR="00FC28A5" w:rsidRPr="00AC1905" w:rsidRDefault="00FC28A5" w:rsidP="00080C88">
          <w:pPr>
            <w:pStyle w:val="Footer"/>
            <w:tabs>
              <w:tab w:val="clear" w:pos="9360"/>
            </w:tabs>
            <w:rPr>
              <w:rFonts w:asciiTheme="minorHAnsi" w:hAnsiTheme="minorHAnsi"/>
              <w:sz w:val="16"/>
              <w:szCs w:val="16"/>
            </w:rPr>
          </w:pPr>
          <w:r w:rsidRPr="00AC1905">
            <w:rPr>
              <w:rFonts w:asciiTheme="minorHAnsi" w:hAnsiTheme="minorHAnsi"/>
              <w:sz w:val="16"/>
              <w:szCs w:val="16"/>
            </w:rPr>
            <w:t>District Assessment System Design Toolkit</w:t>
          </w:r>
        </w:p>
      </w:tc>
      <w:tc>
        <w:tcPr>
          <w:tcW w:w="1500" w:type="pct"/>
          <w:vAlign w:val="center"/>
        </w:tcPr>
        <w:p w:rsidR="00FC28A5" w:rsidRPr="00AC1905" w:rsidRDefault="00FC28A5" w:rsidP="00080C88">
          <w:pPr>
            <w:pStyle w:val="Footer"/>
            <w:tabs>
              <w:tab w:val="clear" w:pos="9360"/>
            </w:tabs>
            <w:jc w:val="right"/>
            <w:rPr>
              <w:rFonts w:asciiTheme="minorHAnsi" w:hAnsiTheme="minorHAnsi"/>
              <w:sz w:val="16"/>
              <w:szCs w:val="16"/>
            </w:rPr>
          </w:pPr>
          <w:r>
            <w:rPr>
              <w:rFonts w:asciiTheme="minorHAnsi" w:hAnsiTheme="minorHAnsi"/>
              <w:sz w:val="16"/>
              <w:szCs w:val="16"/>
            </w:rPr>
            <w:t>End of Project Report</w:t>
          </w:r>
          <w:r w:rsidRPr="00AC1905">
            <w:rPr>
              <w:rFonts w:asciiTheme="minorHAnsi" w:hAnsiTheme="minorHAnsi"/>
              <w:sz w:val="16"/>
              <w:szCs w:val="16"/>
            </w:rPr>
            <w:t xml:space="preserve"> – </w:t>
          </w:r>
          <w:r w:rsidRPr="00CC2566">
            <w:rPr>
              <w:rStyle w:val="PageNumber"/>
              <w:rFonts w:asciiTheme="majorHAnsi" w:hAnsiTheme="majorHAnsi"/>
              <w:color w:val="2F5496" w:themeColor="accent1" w:themeShade="BF"/>
              <w:sz w:val="16"/>
              <w:szCs w:val="16"/>
            </w:rPr>
            <w:fldChar w:fldCharType="begin"/>
          </w:r>
          <w:r w:rsidRPr="00CC2566">
            <w:rPr>
              <w:rStyle w:val="PageNumber"/>
              <w:rFonts w:asciiTheme="majorHAnsi" w:hAnsiTheme="majorHAnsi"/>
              <w:color w:val="2F5496" w:themeColor="accent1" w:themeShade="BF"/>
              <w:sz w:val="16"/>
              <w:szCs w:val="16"/>
            </w:rPr>
            <w:instrText xml:space="preserve">PAGE  </w:instrText>
          </w:r>
          <w:r w:rsidRPr="00CC2566">
            <w:rPr>
              <w:rStyle w:val="PageNumber"/>
              <w:rFonts w:asciiTheme="majorHAnsi" w:hAnsiTheme="majorHAnsi"/>
              <w:color w:val="2F5496" w:themeColor="accent1" w:themeShade="BF"/>
              <w:sz w:val="16"/>
              <w:szCs w:val="16"/>
            </w:rPr>
            <w:fldChar w:fldCharType="separate"/>
          </w:r>
          <w:r>
            <w:rPr>
              <w:rStyle w:val="PageNumber"/>
              <w:rFonts w:asciiTheme="majorHAnsi" w:hAnsiTheme="majorHAnsi"/>
              <w:noProof/>
              <w:color w:val="2F5496" w:themeColor="accent1" w:themeShade="BF"/>
              <w:sz w:val="16"/>
              <w:szCs w:val="16"/>
            </w:rPr>
            <w:t>2</w:t>
          </w:r>
          <w:r w:rsidRPr="00CC2566">
            <w:rPr>
              <w:rStyle w:val="PageNumber"/>
              <w:rFonts w:asciiTheme="majorHAnsi" w:hAnsiTheme="majorHAnsi"/>
              <w:color w:val="2F5496" w:themeColor="accent1" w:themeShade="BF"/>
              <w:sz w:val="16"/>
              <w:szCs w:val="16"/>
            </w:rPr>
            <w:fldChar w:fldCharType="end"/>
          </w:r>
        </w:p>
      </w:tc>
    </w:tr>
  </w:tbl>
  <w:p w:rsidR="00FC28A5" w:rsidRPr="00E901DF" w:rsidRDefault="00FC28A5" w:rsidP="00AF2E23">
    <w:pPr>
      <w:pStyle w:val="Footer"/>
      <w:rPr>
        <w:sz w:val="2"/>
        <w:szCs w:val="2"/>
      </w:rPr>
    </w:pPr>
  </w:p>
  <w:p w:rsidR="00FC28A5" w:rsidRPr="00840753" w:rsidRDefault="00FC28A5" w:rsidP="00AF2E23">
    <w:pPr>
      <w:pStyle w:val="Foote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386619" w:rsidRDefault="00386619" w:rsidP="00FC28A5">
      <w:r>
        <w:separator/>
      </w:r>
    </w:p>
  </w:footnote>
  <w:footnote w:type="continuationSeparator" w:id="0">
    <w:p w:rsidR="00386619" w:rsidRDefault="00386619" w:rsidP="00FC28A5">
      <w:r>
        <w:continuationSeparator/>
      </w:r>
    </w:p>
  </w:footnote>
  <w:footnote w:id="1">
    <w:p w:rsidR="00FC28A5" w:rsidRPr="007B6F67" w:rsidRDefault="00FC28A5" w:rsidP="00FC28A5">
      <w:pPr>
        <w:pStyle w:val="FootnoteText"/>
      </w:pPr>
      <w:r w:rsidRPr="007B6F67">
        <w:rPr>
          <w:rStyle w:val="FootnoteReference"/>
        </w:rPr>
        <w:footnoteRef/>
      </w:r>
      <w:r w:rsidRPr="007B6F67">
        <w:t xml:space="preserve"> </w:t>
      </w:r>
      <w:r>
        <w:tab/>
      </w:r>
      <w:r w:rsidRPr="007B6F67">
        <w:t>Developed by the Center for Assessment</w:t>
      </w:r>
      <w:r>
        <w:t xml:space="preserve"> (nciea.org)</w:t>
      </w:r>
      <w:r w:rsidRPr="007B6F67">
        <w:t>, the Michigan Assessment Consortium</w:t>
      </w:r>
      <w:r>
        <w:t xml:space="preserve"> (michiganassessmentconsortium.org)</w:t>
      </w:r>
      <w:r w:rsidRPr="007B6F67">
        <w:t>, Wayne RESA (</w:t>
      </w:r>
      <w:r>
        <w:t>www.resa.net</w:t>
      </w:r>
      <w:r w:rsidRPr="007B6F67">
        <w:t>), and Oakland Schools (</w:t>
      </w:r>
      <w:r w:rsidRPr="00132209">
        <w:t>www.oakland.k12.mi.us</w:t>
      </w:r>
      <w:r w:rsidRPr="007B6F67">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C28A5" w:rsidRPr="00EB536D" w:rsidRDefault="00FC28A5" w:rsidP="00EB536D">
    <w:pPr>
      <w:pStyle w:val="Header"/>
      <w:tabs>
        <w:tab w:val="clear" w:pos="9360"/>
        <w:tab w:val="left" w:pos="6456"/>
      </w:tab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6" w:space="0" w:color="D9E2F3" w:themeColor="accent1" w:themeTint="33"/>
        <w:left w:val="single" w:sz="6" w:space="0" w:color="D9E2F3" w:themeColor="accent1" w:themeTint="33"/>
        <w:bottom w:val="single" w:sz="6" w:space="0" w:color="D9E2F3" w:themeColor="accent1" w:themeTint="33"/>
        <w:right w:val="single" w:sz="6" w:space="0" w:color="D9E2F3"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3919"/>
      <w:gridCol w:w="5079"/>
    </w:tblGrid>
    <w:tr w:rsidR="00FC28A5" w:rsidRPr="00227847" w:rsidTr="00501A0E">
      <w:tc>
        <w:tcPr>
          <w:tcW w:w="162" w:type="pct"/>
          <w:shd w:val="clear" w:color="auto" w:fill="F5F8FF"/>
          <w:tcMar>
            <w:top w:w="29" w:type="dxa"/>
            <w:left w:w="29" w:type="dxa"/>
            <w:bottom w:w="29" w:type="dxa"/>
            <w:right w:w="29" w:type="dxa"/>
          </w:tcMar>
          <w:vAlign w:val="center"/>
        </w:tcPr>
        <w:p w:rsidR="00FC28A5" w:rsidRPr="00227847" w:rsidRDefault="00FC28A5" w:rsidP="00FC28A5">
          <w:pPr>
            <w:pStyle w:val="Header"/>
            <w:rPr>
              <w:color w:val="8EAADB" w:themeColor="accent1" w:themeTint="99"/>
              <w:sz w:val="16"/>
              <w:szCs w:val="16"/>
            </w:rPr>
          </w:pPr>
          <w:r w:rsidRPr="00227847">
            <w:rPr>
              <w:noProof/>
              <w:color w:val="8EAADB" w:themeColor="accent1" w:themeTint="99"/>
              <w:sz w:val="16"/>
              <w:szCs w:val="16"/>
            </w:rPr>
            <w:drawing>
              <wp:inline distT="0" distB="0" distL="0" distR="0" wp14:anchorId="0D3AC095" wp14:editId="21FABFE4">
                <wp:extent cx="182880" cy="182880"/>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109" w:type="pct"/>
          <w:shd w:val="clear" w:color="auto" w:fill="F5F8FF"/>
          <w:tcMar>
            <w:top w:w="29" w:type="dxa"/>
            <w:left w:w="29" w:type="dxa"/>
            <w:bottom w:w="29" w:type="dxa"/>
            <w:right w:w="29" w:type="dxa"/>
          </w:tcMar>
          <w:vAlign w:val="center"/>
        </w:tcPr>
        <w:p w:rsidR="00FC28A5" w:rsidRPr="00227847" w:rsidRDefault="00FC28A5" w:rsidP="00FC28A5">
          <w:pPr>
            <w:pStyle w:val="Header"/>
            <w:jc w:val="left"/>
            <w:rPr>
              <w:color w:val="8EAADB" w:themeColor="accent1" w:themeTint="99"/>
              <w:sz w:val="16"/>
              <w:szCs w:val="16"/>
            </w:rPr>
          </w:pPr>
          <w:r>
            <w:rPr>
              <w:color w:val="8EAADB" w:themeColor="accent1" w:themeTint="99"/>
              <w:sz w:val="16"/>
              <w:szCs w:val="16"/>
            </w:rPr>
            <w:t xml:space="preserve">DASD Toolkit — </w:t>
          </w:r>
          <w:r w:rsidRPr="00227847">
            <w:rPr>
              <w:color w:val="8EAADB" w:themeColor="accent1" w:themeTint="99"/>
              <w:sz w:val="16"/>
              <w:szCs w:val="16"/>
            </w:rPr>
            <w:t>version 0.9 (beta)</w:t>
          </w:r>
        </w:p>
      </w:tc>
      <w:tc>
        <w:tcPr>
          <w:tcW w:w="2729" w:type="pct"/>
          <w:shd w:val="clear" w:color="auto" w:fill="F5F8FF"/>
          <w:tcMar>
            <w:top w:w="29" w:type="dxa"/>
            <w:left w:w="29" w:type="dxa"/>
            <w:bottom w:w="29" w:type="dxa"/>
            <w:right w:w="29" w:type="dxa"/>
          </w:tcMar>
          <w:vAlign w:val="center"/>
        </w:tcPr>
        <w:p w:rsidR="00FC28A5" w:rsidRPr="00227847" w:rsidRDefault="00FC28A5" w:rsidP="00FC28A5">
          <w:pPr>
            <w:pStyle w:val="Header"/>
            <w:jc w:val="right"/>
            <w:rPr>
              <w:color w:val="8EAADB" w:themeColor="accent1" w:themeTint="99"/>
              <w:sz w:val="16"/>
              <w:szCs w:val="16"/>
            </w:rPr>
          </w:pPr>
          <w:r>
            <w:rPr>
              <w:color w:val="8EAADB" w:themeColor="accent1" w:themeTint="99"/>
              <w:sz w:val="16"/>
              <w:szCs w:val="16"/>
            </w:rPr>
            <w:t>Project Report</w:t>
          </w:r>
          <w:r w:rsidRPr="00227847">
            <w:rPr>
              <w:color w:val="8EAADB" w:themeColor="accent1" w:themeTint="99"/>
              <w:sz w:val="16"/>
              <w:szCs w:val="16"/>
            </w:rPr>
            <w:t xml:space="preserve"> — Page </w:t>
          </w:r>
          <w:r w:rsidRPr="00227847">
            <w:rPr>
              <w:color w:val="8EAADB" w:themeColor="accent1" w:themeTint="99"/>
              <w:sz w:val="16"/>
              <w:szCs w:val="16"/>
            </w:rPr>
            <w:fldChar w:fldCharType="begin"/>
          </w:r>
          <w:r w:rsidRPr="00227847">
            <w:rPr>
              <w:color w:val="8EAADB" w:themeColor="accent1" w:themeTint="99"/>
              <w:sz w:val="16"/>
              <w:szCs w:val="16"/>
            </w:rPr>
            <w:instrText xml:space="preserve"> PAGE </w:instrText>
          </w:r>
          <w:r w:rsidRPr="00227847">
            <w:rPr>
              <w:color w:val="8EAADB" w:themeColor="accent1" w:themeTint="99"/>
              <w:sz w:val="16"/>
              <w:szCs w:val="16"/>
            </w:rPr>
            <w:fldChar w:fldCharType="separate"/>
          </w:r>
          <w:r w:rsidRPr="00227847">
            <w:rPr>
              <w:color w:val="8EAADB" w:themeColor="accent1" w:themeTint="99"/>
              <w:sz w:val="16"/>
              <w:szCs w:val="16"/>
            </w:rPr>
            <w:t>i</w:t>
          </w:r>
          <w:proofErr w:type="spellStart"/>
          <w:r w:rsidRPr="00227847">
            <w:rPr>
              <w:color w:val="8EAADB" w:themeColor="accent1" w:themeTint="99"/>
              <w:sz w:val="16"/>
              <w:szCs w:val="16"/>
            </w:rPr>
            <w:t>i</w:t>
          </w:r>
          <w:proofErr w:type="spellEnd"/>
          <w:r w:rsidRPr="00227847">
            <w:rPr>
              <w:color w:val="8EAADB" w:themeColor="accent1" w:themeTint="99"/>
              <w:sz w:val="16"/>
              <w:szCs w:val="16"/>
            </w:rPr>
            <w:fldChar w:fldCharType="end"/>
          </w:r>
          <w:r w:rsidRPr="00227847">
            <w:rPr>
              <w:color w:val="8EAADB" w:themeColor="accent1" w:themeTint="99"/>
              <w:sz w:val="16"/>
              <w:szCs w:val="16"/>
            </w:rPr>
            <w:t> </w:t>
          </w:r>
        </w:p>
      </w:tc>
    </w:tr>
  </w:tbl>
  <w:p w:rsidR="00FC28A5" w:rsidRPr="00E901DF" w:rsidRDefault="00FC28A5" w:rsidP="00EB536D">
    <w:pPr>
      <w:pStyle w:val="Header"/>
      <w:tabs>
        <w:tab w:val="clear" w:pos="9360"/>
        <w:tab w:val="left" w:pos="6456"/>
      </w:tabs>
      <w:rPr>
        <w:sz w:val="2"/>
        <w:szCs w:val="2"/>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6" w:space="0" w:color="D9E2F3" w:themeColor="accent1" w:themeTint="33"/>
        <w:left w:val="single" w:sz="6" w:space="0" w:color="D9E2F3" w:themeColor="accent1" w:themeTint="33"/>
        <w:bottom w:val="single" w:sz="6" w:space="0" w:color="D9E2F3" w:themeColor="accent1" w:themeTint="33"/>
        <w:right w:val="single" w:sz="6" w:space="0" w:color="D9E2F3"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3919"/>
      <w:gridCol w:w="5079"/>
    </w:tblGrid>
    <w:tr w:rsidR="00FC28A5" w:rsidRPr="00227847" w:rsidTr="00501A0E">
      <w:tc>
        <w:tcPr>
          <w:tcW w:w="162" w:type="pct"/>
          <w:shd w:val="clear" w:color="auto" w:fill="F5F8FF"/>
          <w:tcMar>
            <w:top w:w="29" w:type="dxa"/>
            <w:left w:w="29" w:type="dxa"/>
            <w:bottom w:w="29" w:type="dxa"/>
            <w:right w:w="29" w:type="dxa"/>
          </w:tcMar>
          <w:vAlign w:val="center"/>
        </w:tcPr>
        <w:p w:rsidR="00FC28A5" w:rsidRPr="00227847" w:rsidRDefault="00FC28A5" w:rsidP="00FC28A5">
          <w:pPr>
            <w:pStyle w:val="Header"/>
            <w:rPr>
              <w:color w:val="8EAADB" w:themeColor="accent1" w:themeTint="99"/>
              <w:sz w:val="16"/>
              <w:szCs w:val="16"/>
            </w:rPr>
          </w:pPr>
          <w:r w:rsidRPr="00227847">
            <w:rPr>
              <w:noProof/>
              <w:color w:val="8EAADB" w:themeColor="accent1" w:themeTint="99"/>
              <w:sz w:val="16"/>
              <w:szCs w:val="16"/>
            </w:rPr>
            <w:drawing>
              <wp:inline distT="0" distB="0" distL="0" distR="0" wp14:anchorId="426F4A5D" wp14:editId="4284AA33">
                <wp:extent cx="182880" cy="182880"/>
                <wp:effectExtent l="0" t="0" r="0" b="0"/>
                <wp:docPr id="16" name="Picture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109" w:type="pct"/>
          <w:shd w:val="clear" w:color="auto" w:fill="F5F8FF"/>
          <w:tcMar>
            <w:top w:w="29" w:type="dxa"/>
            <w:left w:w="29" w:type="dxa"/>
            <w:bottom w:w="29" w:type="dxa"/>
            <w:right w:w="29" w:type="dxa"/>
          </w:tcMar>
          <w:vAlign w:val="center"/>
        </w:tcPr>
        <w:p w:rsidR="00FC28A5" w:rsidRPr="00227847" w:rsidRDefault="00FC28A5" w:rsidP="00FC28A5">
          <w:pPr>
            <w:pStyle w:val="Header"/>
            <w:jc w:val="left"/>
            <w:rPr>
              <w:color w:val="8EAADB" w:themeColor="accent1" w:themeTint="99"/>
              <w:sz w:val="16"/>
              <w:szCs w:val="16"/>
            </w:rPr>
          </w:pPr>
          <w:r>
            <w:rPr>
              <w:color w:val="8EAADB" w:themeColor="accent1" w:themeTint="99"/>
              <w:sz w:val="16"/>
              <w:szCs w:val="16"/>
            </w:rPr>
            <w:t xml:space="preserve">DASD Toolkit — </w:t>
          </w:r>
          <w:r w:rsidRPr="00227847">
            <w:rPr>
              <w:color w:val="8EAADB" w:themeColor="accent1" w:themeTint="99"/>
              <w:sz w:val="16"/>
              <w:szCs w:val="16"/>
            </w:rPr>
            <w:t>version 0.9 (beta)</w:t>
          </w:r>
        </w:p>
      </w:tc>
      <w:tc>
        <w:tcPr>
          <w:tcW w:w="2729" w:type="pct"/>
          <w:shd w:val="clear" w:color="auto" w:fill="F5F8FF"/>
          <w:tcMar>
            <w:top w:w="29" w:type="dxa"/>
            <w:left w:w="29" w:type="dxa"/>
            <w:bottom w:w="29" w:type="dxa"/>
            <w:right w:w="29" w:type="dxa"/>
          </w:tcMar>
          <w:vAlign w:val="center"/>
        </w:tcPr>
        <w:p w:rsidR="00FC28A5" w:rsidRPr="00227847" w:rsidRDefault="00FC28A5" w:rsidP="00FC28A5">
          <w:pPr>
            <w:pStyle w:val="Header"/>
            <w:jc w:val="right"/>
            <w:rPr>
              <w:color w:val="8EAADB" w:themeColor="accent1" w:themeTint="99"/>
              <w:sz w:val="16"/>
              <w:szCs w:val="16"/>
            </w:rPr>
          </w:pPr>
          <w:r>
            <w:rPr>
              <w:color w:val="8EAADB" w:themeColor="accent1" w:themeTint="99"/>
              <w:sz w:val="16"/>
              <w:szCs w:val="16"/>
            </w:rPr>
            <w:t>Project Report</w:t>
          </w:r>
          <w:r w:rsidRPr="00227847">
            <w:rPr>
              <w:color w:val="8EAADB" w:themeColor="accent1" w:themeTint="99"/>
              <w:sz w:val="16"/>
              <w:szCs w:val="16"/>
            </w:rPr>
            <w:t xml:space="preserve"> — Page </w:t>
          </w:r>
          <w:r w:rsidRPr="00227847">
            <w:rPr>
              <w:color w:val="8EAADB" w:themeColor="accent1" w:themeTint="99"/>
              <w:sz w:val="16"/>
              <w:szCs w:val="16"/>
            </w:rPr>
            <w:fldChar w:fldCharType="begin"/>
          </w:r>
          <w:r w:rsidRPr="00227847">
            <w:rPr>
              <w:color w:val="8EAADB" w:themeColor="accent1" w:themeTint="99"/>
              <w:sz w:val="16"/>
              <w:szCs w:val="16"/>
            </w:rPr>
            <w:instrText xml:space="preserve"> PAGE </w:instrText>
          </w:r>
          <w:r w:rsidRPr="00227847">
            <w:rPr>
              <w:color w:val="8EAADB" w:themeColor="accent1" w:themeTint="99"/>
              <w:sz w:val="16"/>
              <w:szCs w:val="16"/>
            </w:rPr>
            <w:fldChar w:fldCharType="separate"/>
          </w:r>
          <w:r w:rsidRPr="00227847">
            <w:rPr>
              <w:color w:val="8EAADB" w:themeColor="accent1" w:themeTint="99"/>
              <w:sz w:val="16"/>
              <w:szCs w:val="16"/>
            </w:rPr>
            <w:t>i</w:t>
          </w:r>
          <w:proofErr w:type="spellStart"/>
          <w:r w:rsidRPr="00227847">
            <w:rPr>
              <w:color w:val="8EAADB" w:themeColor="accent1" w:themeTint="99"/>
              <w:sz w:val="16"/>
              <w:szCs w:val="16"/>
            </w:rPr>
            <w:t>i</w:t>
          </w:r>
          <w:proofErr w:type="spellEnd"/>
          <w:r w:rsidRPr="00227847">
            <w:rPr>
              <w:color w:val="8EAADB" w:themeColor="accent1" w:themeTint="99"/>
              <w:sz w:val="16"/>
              <w:szCs w:val="16"/>
            </w:rPr>
            <w:fldChar w:fldCharType="end"/>
          </w:r>
          <w:r w:rsidRPr="00227847">
            <w:rPr>
              <w:color w:val="8EAADB" w:themeColor="accent1" w:themeTint="99"/>
              <w:sz w:val="16"/>
              <w:szCs w:val="16"/>
            </w:rPr>
            <w:t> </w:t>
          </w:r>
        </w:p>
      </w:tc>
    </w:tr>
  </w:tbl>
  <w:p w:rsidR="00FC28A5" w:rsidRPr="00E901DF" w:rsidRDefault="00FC28A5" w:rsidP="00EB536D">
    <w:pPr>
      <w:pStyle w:val="Header"/>
      <w:tabs>
        <w:tab w:val="clear" w:pos="9360"/>
        <w:tab w:val="left" w:pos="6456"/>
      </w:tabs>
      <w:rPr>
        <w:sz w:val="2"/>
        <w:szCs w:val="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9E7EDD1C"/>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03120A6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40C2D29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976A353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2AD8F444"/>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91BC616E"/>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26E80DDE"/>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6E1208B8"/>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7550F6B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FC980BC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76071D9"/>
    <w:multiLevelType w:val="hybridMultilevel"/>
    <w:tmpl w:val="E698E8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FE1301A"/>
    <w:multiLevelType w:val="hybridMultilevel"/>
    <w:tmpl w:val="0AD26C94"/>
    <w:lvl w:ilvl="0" w:tplc="0936DF76">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2" w15:restartNumberingAfterBreak="0">
    <w:nsid w:val="209829A9"/>
    <w:multiLevelType w:val="hybridMultilevel"/>
    <w:tmpl w:val="ACFCDA10"/>
    <w:lvl w:ilvl="0" w:tplc="47CA9560">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378533F0"/>
    <w:multiLevelType w:val="hybridMultilevel"/>
    <w:tmpl w:val="6DBAE6FA"/>
    <w:lvl w:ilvl="0" w:tplc="E5929908">
      <w:start w:val="1"/>
      <w:numFmt w:val="bullet"/>
      <w:pStyle w:val="BulletsLev4"/>
      <w:lvlText w:val=""/>
      <w:lvlJc w:val="left"/>
      <w:pPr>
        <w:ind w:left="2700" w:hanging="360"/>
      </w:pPr>
      <w:rPr>
        <w:rFonts w:ascii="Wingdings" w:hAnsi="Wingdings" w:hint="default"/>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4" w15:restartNumberingAfterBreak="0">
    <w:nsid w:val="4BE97A51"/>
    <w:multiLevelType w:val="hybridMultilevel"/>
    <w:tmpl w:val="01102330"/>
    <w:lvl w:ilvl="0" w:tplc="3A9277C2">
      <w:start w:val="1"/>
      <w:numFmt w:val="bullet"/>
      <w:pStyle w:val="BulletsLev1"/>
      <w:lvlText w:val=""/>
      <w:lvlJc w:val="left"/>
      <w:pPr>
        <w:ind w:left="720" w:hanging="360"/>
      </w:pPr>
      <w:rPr>
        <w:rFonts w:ascii="Symbol" w:hAnsi="Symbol" w:hint="default"/>
      </w:rPr>
    </w:lvl>
    <w:lvl w:ilvl="1" w:tplc="04090003">
      <w:start w:val="1"/>
      <w:numFmt w:val="bullet"/>
      <w:pStyle w:val="BulletsLev2"/>
      <w:lvlText w:val="o"/>
      <w:lvlJc w:val="left"/>
      <w:pPr>
        <w:ind w:left="1440" w:hanging="360"/>
      </w:pPr>
      <w:rPr>
        <w:rFonts w:ascii="Courier New" w:hAnsi="Courier New" w:cs="Courier New" w:hint="default"/>
      </w:rPr>
    </w:lvl>
    <w:lvl w:ilvl="2" w:tplc="04090005">
      <w:start w:val="1"/>
      <w:numFmt w:val="bullet"/>
      <w:pStyle w:val="BulletLev3"/>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71CB37FC"/>
    <w:multiLevelType w:val="hybridMultilevel"/>
    <w:tmpl w:val="E94E0A04"/>
    <w:lvl w:ilvl="0" w:tplc="04090001">
      <w:start w:val="1"/>
      <w:numFmt w:val="bullet"/>
      <w:lvlText w:val=""/>
      <w:lvlJc w:val="left"/>
      <w:pPr>
        <w:ind w:left="784" w:hanging="360"/>
      </w:pPr>
      <w:rPr>
        <w:rFonts w:ascii="Symbol" w:hAnsi="Symbol" w:hint="default"/>
      </w:rPr>
    </w:lvl>
    <w:lvl w:ilvl="1" w:tplc="04090003" w:tentative="1">
      <w:start w:val="1"/>
      <w:numFmt w:val="bullet"/>
      <w:lvlText w:val="o"/>
      <w:lvlJc w:val="left"/>
      <w:pPr>
        <w:ind w:left="1504" w:hanging="360"/>
      </w:pPr>
      <w:rPr>
        <w:rFonts w:ascii="Courier New" w:hAnsi="Courier New" w:cs="Courier New" w:hint="default"/>
      </w:rPr>
    </w:lvl>
    <w:lvl w:ilvl="2" w:tplc="04090005" w:tentative="1">
      <w:start w:val="1"/>
      <w:numFmt w:val="bullet"/>
      <w:lvlText w:val=""/>
      <w:lvlJc w:val="left"/>
      <w:pPr>
        <w:ind w:left="2224" w:hanging="360"/>
      </w:pPr>
      <w:rPr>
        <w:rFonts w:ascii="Wingdings" w:hAnsi="Wingdings" w:hint="default"/>
      </w:rPr>
    </w:lvl>
    <w:lvl w:ilvl="3" w:tplc="04090001" w:tentative="1">
      <w:start w:val="1"/>
      <w:numFmt w:val="bullet"/>
      <w:lvlText w:val=""/>
      <w:lvlJc w:val="left"/>
      <w:pPr>
        <w:ind w:left="2944" w:hanging="360"/>
      </w:pPr>
      <w:rPr>
        <w:rFonts w:ascii="Symbol" w:hAnsi="Symbol" w:hint="default"/>
      </w:rPr>
    </w:lvl>
    <w:lvl w:ilvl="4" w:tplc="04090003" w:tentative="1">
      <w:start w:val="1"/>
      <w:numFmt w:val="bullet"/>
      <w:lvlText w:val="o"/>
      <w:lvlJc w:val="left"/>
      <w:pPr>
        <w:ind w:left="3664" w:hanging="360"/>
      </w:pPr>
      <w:rPr>
        <w:rFonts w:ascii="Courier New" w:hAnsi="Courier New" w:cs="Courier New" w:hint="default"/>
      </w:rPr>
    </w:lvl>
    <w:lvl w:ilvl="5" w:tplc="04090005" w:tentative="1">
      <w:start w:val="1"/>
      <w:numFmt w:val="bullet"/>
      <w:lvlText w:val=""/>
      <w:lvlJc w:val="left"/>
      <w:pPr>
        <w:ind w:left="4384" w:hanging="360"/>
      </w:pPr>
      <w:rPr>
        <w:rFonts w:ascii="Wingdings" w:hAnsi="Wingdings" w:hint="default"/>
      </w:rPr>
    </w:lvl>
    <w:lvl w:ilvl="6" w:tplc="04090001" w:tentative="1">
      <w:start w:val="1"/>
      <w:numFmt w:val="bullet"/>
      <w:lvlText w:val=""/>
      <w:lvlJc w:val="left"/>
      <w:pPr>
        <w:ind w:left="5104" w:hanging="360"/>
      </w:pPr>
      <w:rPr>
        <w:rFonts w:ascii="Symbol" w:hAnsi="Symbol" w:hint="default"/>
      </w:rPr>
    </w:lvl>
    <w:lvl w:ilvl="7" w:tplc="04090003" w:tentative="1">
      <w:start w:val="1"/>
      <w:numFmt w:val="bullet"/>
      <w:lvlText w:val="o"/>
      <w:lvlJc w:val="left"/>
      <w:pPr>
        <w:ind w:left="5824" w:hanging="360"/>
      </w:pPr>
      <w:rPr>
        <w:rFonts w:ascii="Courier New" w:hAnsi="Courier New" w:cs="Courier New" w:hint="default"/>
      </w:rPr>
    </w:lvl>
    <w:lvl w:ilvl="8" w:tplc="04090005" w:tentative="1">
      <w:start w:val="1"/>
      <w:numFmt w:val="bullet"/>
      <w:lvlText w:val=""/>
      <w:lvlJc w:val="left"/>
      <w:pPr>
        <w:ind w:left="6544" w:hanging="360"/>
      </w:pPr>
      <w:rPr>
        <w:rFonts w:ascii="Wingdings" w:hAnsi="Wingdings" w:hint="default"/>
      </w:rPr>
    </w:lvl>
  </w:abstractNum>
  <w:abstractNum w:abstractNumId="16" w15:restartNumberingAfterBreak="0">
    <w:nsid w:val="7BF4057E"/>
    <w:multiLevelType w:val="hybridMultilevel"/>
    <w:tmpl w:val="D8F6EB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8"/>
  </w:num>
  <w:num w:numId="6">
    <w:abstractNumId w:val="4"/>
  </w:num>
  <w:num w:numId="7">
    <w:abstractNumId w:val="5"/>
  </w:num>
  <w:num w:numId="8">
    <w:abstractNumId w:val="6"/>
  </w:num>
  <w:num w:numId="9">
    <w:abstractNumId w:val="7"/>
  </w:num>
  <w:num w:numId="10">
    <w:abstractNumId w:val="9"/>
  </w:num>
  <w:num w:numId="11">
    <w:abstractNumId w:val="14"/>
  </w:num>
  <w:num w:numId="12">
    <w:abstractNumId w:val="14"/>
  </w:num>
  <w:num w:numId="13">
    <w:abstractNumId w:val="14"/>
  </w:num>
  <w:num w:numId="14">
    <w:abstractNumId w:val="14"/>
  </w:num>
  <w:num w:numId="15">
    <w:abstractNumId w:val="14"/>
  </w:num>
  <w:num w:numId="16">
    <w:abstractNumId w:val="14"/>
  </w:num>
  <w:num w:numId="17">
    <w:abstractNumId w:val="14"/>
  </w:num>
  <w:num w:numId="18">
    <w:abstractNumId w:val="13"/>
  </w:num>
  <w:num w:numId="19">
    <w:abstractNumId w:val="14"/>
  </w:num>
  <w:num w:numId="20">
    <w:abstractNumId w:val="14"/>
  </w:num>
  <w:num w:numId="21">
    <w:abstractNumId w:val="11"/>
  </w:num>
  <w:num w:numId="22">
    <w:abstractNumId w:val="14"/>
  </w:num>
  <w:num w:numId="23">
    <w:abstractNumId w:val="14"/>
  </w:num>
  <w:num w:numId="24">
    <w:abstractNumId w:val="12"/>
  </w:num>
  <w:num w:numId="25">
    <w:abstractNumId w:val="15"/>
  </w:num>
  <w:num w:numId="26">
    <w:abstractNumId w:val="10"/>
  </w:num>
  <w:num w:numId="27">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5"/>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1368B"/>
    <w:rsid w:val="00037608"/>
    <w:rsid w:val="00040ADD"/>
    <w:rsid w:val="00076796"/>
    <w:rsid w:val="0008226E"/>
    <w:rsid w:val="0012557E"/>
    <w:rsid w:val="00154EE0"/>
    <w:rsid w:val="00181B02"/>
    <w:rsid w:val="00183DC2"/>
    <w:rsid w:val="001A5A64"/>
    <w:rsid w:val="001E72B3"/>
    <w:rsid w:val="002012B5"/>
    <w:rsid w:val="00290180"/>
    <w:rsid w:val="002A0E7E"/>
    <w:rsid w:val="002F723A"/>
    <w:rsid w:val="003300C3"/>
    <w:rsid w:val="003514FF"/>
    <w:rsid w:val="0037578B"/>
    <w:rsid w:val="00386619"/>
    <w:rsid w:val="003C5307"/>
    <w:rsid w:val="003C7611"/>
    <w:rsid w:val="003D51E3"/>
    <w:rsid w:val="003F786F"/>
    <w:rsid w:val="004A126A"/>
    <w:rsid w:val="004A4262"/>
    <w:rsid w:val="00506679"/>
    <w:rsid w:val="00570380"/>
    <w:rsid w:val="005B6441"/>
    <w:rsid w:val="00611C24"/>
    <w:rsid w:val="00612AAA"/>
    <w:rsid w:val="0061368B"/>
    <w:rsid w:val="00626DB0"/>
    <w:rsid w:val="00673E79"/>
    <w:rsid w:val="00675967"/>
    <w:rsid w:val="006C6E36"/>
    <w:rsid w:val="006F3393"/>
    <w:rsid w:val="007564C0"/>
    <w:rsid w:val="007A77F7"/>
    <w:rsid w:val="007C37F4"/>
    <w:rsid w:val="00825EAE"/>
    <w:rsid w:val="00865C00"/>
    <w:rsid w:val="008959F8"/>
    <w:rsid w:val="008A3CDD"/>
    <w:rsid w:val="008F3674"/>
    <w:rsid w:val="008F4282"/>
    <w:rsid w:val="00905F81"/>
    <w:rsid w:val="009D517B"/>
    <w:rsid w:val="00A65CE9"/>
    <w:rsid w:val="00A70503"/>
    <w:rsid w:val="00A7576A"/>
    <w:rsid w:val="00AB0D12"/>
    <w:rsid w:val="00AD5741"/>
    <w:rsid w:val="00B30A98"/>
    <w:rsid w:val="00B42CDC"/>
    <w:rsid w:val="00B62191"/>
    <w:rsid w:val="00B70E01"/>
    <w:rsid w:val="00B75C2E"/>
    <w:rsid w:val="00B92E2E"/>
    <w:rsid w:val="00C06898"/>
    <w:rsid w:val="00CA2D93"/>
    <w:rsid w:val="00CD5666"/>
    <w:rsid w:val="00CE6843"/>
    <w:rsid w:val="00D50AC1"/>
    <w:rsid w:val="00D655AB"/>
    <w:rsid w:val="00D65D35"/>
    <w:rsid w:val="00DD60C5"/>
    <w:rsid w:val="00EE53A6"/>
    <w:rsid w:val="00F7102A"/>
    <w:rsid w:val="00FB064E"/>
    <w:rsid w:val="00FC28A5"/>
    <w:rsid w:val="00FD42F2"/>
    <w:rsid w:val="00FF047C"/>
    <w:rsid w:val="00FF5E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3D8985F"/>
  <w14:defaultImageDpi w14:val="32767"/>
  <w15:chartTrackingRefBased/>
  <w15:docId w15:val="{5E96EE7A-D29E-6F45-ACF9-5250CDE06A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rsid w:val="00FC28A5"/>
    <w:rPr>
      <w:rFonts w:ascii="Garamond" w:hAnsi="Garamond" w:cs="Times New Roman"/>
    </w:rPr>
  </w:style>
  <w:style w:type="paragraph" w:styleId="Heading1">
    <w:name w:val="heading 1"/>
    <w:basedOn w:val="Normal"/>
    <w:next w:val="Normal"/>
    <w:link w:val="Heading1Char"/>
    <w:uiPriority w:val="9"/>
    <w:qFormat/>
    <w:rsid w:val="00506679"/>
    <w:pPr>
      <w:keepNext/>
      <w:keepLines/>
      <w:jc w:val="center"/>
      <w:outlineLvl w:val="0"/>
    </w:pPr>
    <w:rPr>
      <w:rFonts w:asciiTheme="minorHAnsi" w:eastAsiaTheme="majorEastAsia" w:hAnsiTheme="minorHAnsi" w:cs="Times New Roman (Headings CS)"/>
      <w:b/>
      <w:caps/>
      <w:color w:val="4472C4" w:themeColor="accent1"/>
      <w:szCs w:val="32"/>
    </w:rPr>
  </w:style>
  <w:style w:type="paragraph" w:styleId="Heading2">
    <w:name w:val="heading 2"/>
    <w:basedOn w:val="Heading1"/>
    <w:next w:val="Normal"/>
    <w:link w:val="Heading2Char"/>
    <w:uiPriority w:val="9"/>
    <w:unhideWhenUsed/>
    <w:qFormat/>
    <w:rsid w:val="00506679"/>
    <w:pPr>
      <w:outlineLvl w:val="1"/>
    </w:pPr>
    <w:rPr>
      <w:caps w:val="0"/>
      <w:szCs w:val="26"/>
    </w:rPr>
  </w:style>
  <w:style w:type="paragraph" w:styleId="Heading3">
    <w:name w:val="heading 3"/>
    <w:basedOn w:val="Heading2"/>
    <w:next w:val="Normal"/>
    <w:link w:val="Heading3Char"/>
    <w:uiPriority w:val="9"/>
    <w:unhideWhenUsed/>
    <w:qFormat/>
    <w:rsid w:val="00506679"/>
    <w:pPr>
      <w:jc w:val="left"/>
      <w:outlineLvl w:val="2"/>
    </w:pPr>
  </w:style>
  <w:style w:type="paragraph" w:styleId="Heading4">
    <w:name w:val="heading 4"/>
    <w:basedOn w:val="Heading3"/>
    <w:next w:val="Normal"/>
    <w:link w:val="Heading4Char"/>
    <w:uiPriority w:val="9"/>
    <w:unhideWhenUsed/>
    <w:qFormat/>
    <w:rsid w:val="00506679"/>
    <w:pPr>
      <w:outlineLvl w:val="3"/>
    </w:pPr>
    <w:rPr>
      <w:b w:val="0"/>
      <w:i/>
      <w:i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aliases w:val="No Space After"/>
    <w:basedOn w:val="Normal"/>
    <w:uiPriority w:val="1"/>
    <w:qFormat/>
    <w:rsid w:val="00CD5666"/>
  </w:style>
  <w:style w:type="character" w:customStyle="1" w:styleId="Heading1Char">
    <w:name w:val="Heading 1 Char"/>
    <w:basedOn w:val="DefaultParagraphFont"/>
    <w:link w:val="Heading1"/>
    <w:uiPriority w:val="9"/>
    <w:rsid w:val="00506679"/>
    <w:rPr>
      <w:rFonts w:ascii="Garamond" w:eastAsiaTheme="majorEastAsia" w:hAnsi="Garamond" w:cs="Times New Roman (Headings CS)"/>
      <w:b/>
      <w:caps/>
      <w:color w:val="4472C4" w:themeColor="accent1"/>
      <w:sz w:val="24"/>
      <w:szCs w:val="32"/>
      <w:lang w:eastAsia="ja-JP"/>
    </w:rPr>
  </w:style>
  <w:style w:type="character" w:customStyle="1" w:styleId="Heading2Char">
    <w:name w:val="Heading 2 Char"/>
    <w:basedOn w:val="DefaultParagraphFont"/>
    <w:link w:val="Heading2"/>
    <w:uiPriority w:val="9"/>
    <w:rsid w:val="00506679"/>
    <w:rPr>
      <w:rFonts w:ascii="Garamond" w:eastAsiaTheme="majorEastAsia" w:hAnsi="Garamond" w:cs="Times New Roman (Headings CS)"/>
      <w:b/>
      <w:color w:val="4472C4" w:themeColor="accent1"/>
      <w:sz w:val="24"/>
      <w:szCs w:val="26"/>
      <w:lang w:eastAsia="ja-JP"/>
    </w:rPr>
  </w:style>
  <w:style w:type="paragraph" w:styleId="Title">
    <w:name w:val="Title"/>
    <w:basedOn w:val="Heading3"/>
    <w:next w:val="Normal"/>
    <w:link w:val="TitleChar"/>
    <w:autoRedefine/>
    <w:uiPriority w:val="10"/>
    <w:qFormat/>
    <w:rsid w:val="001E72B3"/>
    <w:pPr>
      <w:contextualSpacing/>
    </w:pPr>
    <w:rPr>
      <w:spacing w:val="-10"/>
      <w:kern w:val="28"/>
      <w:sz w:val="32"/>
      <w:szCs w:val="56"/>
    </w:rPr>
  </w:style>
  <w:style w:type="character" w:customStyle="1" w:styleId="TitleChar">
    <w:name w:val="Title Char"/>
    <w:basedOn w:val="DefaultParagraphFont"/>
    <w:link w:val="Title"/>
    <w:uiPriority w:val="10"/>
    <w:rsid w:val="001E72B3"/>
    <w:rPr>
      <w:rFonts w:ascii="Calibri" w:eastAsiaTheme="majorEastAsia" w:hAnsi="Calibri" w:cs="Times New Roman (Headings CS)"/>
      <w:b/>
      <w:color w:val="4472C4"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472C4" w:themeColor="accent1"/>
      <w:kern w:val="28"/>
      <w:sz w:val="28"/>
      <w:szCs w:val="22"/>
    </w:rPr>
  </w:style>
  <w:style w:type="character" w:customStyle="1" w:styleId="Heading3Char">
    <w:name w:val="Heading 3 Char"/>
    <w:basedOn w:val="DefaultParagraphFont"/>
    <w:link w:val="Heading3"/>
    <w:uiPriority w:val="9"/>
    <w:rsid w:val="00506679"/>
    <w:rPr>
      <w:rFonts w:ascii="Garamond" w:eastAsiaTheme="majorEastAsia" w:hAnsi="Garamond" w:cs="Times New Roman (Headings CS)"/>
      <w:b/>
      <w:color w:val="4472C4" w:themeColor="accent1"/>
      <w:sz w:val="24"/>
      <w:szCs w:val="26"/>
      <w:lang w:eastAsia="ja-JP"/>
    </w:rPr>
  </w:style>
  <w:style w:type="character" w:customStyle="1" w:styleId="Heading4Char">
    <w:name w:val="Heading 4 Char"/>
    <w:basedOn w:val="DefaultParagraphFont"/>
    <w:link w:val="Heading4"/>
    <w:uiPriority w:val="9"/>
    <w:rsid w:val="00506679"/>
    <w:rPr>
      <w:rFonts w:ascii="Garamond" w:eastAsiaTheme="majorEastAsia" w:hAnsi="Garamond" w:cs="Times New Roman (Headings CS)"/>
      <w:i/>
      <w:iCs/>
      <w:color w:val="4472C4" w:themeColor="accent1"/>
      <w:sz w:val="24"/>
      <w:szCs w:val="26"/>
      <w:lang w:eastAsia="ja-JP"/>
    </w:rPr>
  </w:style>
  <w:style w:type="paragraph" w:styleId="TOC1">
    <w:name w:val="toc 1"/>
    <w:basedOn w:val="Heading1"/>
    <w:next w:val="Normal"/>
    <w:uiPriority w:val="39"/>
    <w:unhideWhenUsed/>
    <w:qFormat/>
    <w:rsid w:val="005B6441"/>
    <w:pPr>
      <w:keepNext w:val="0"/>
      <w:keepLines w:val="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semiHidden/>
    <w:unhideWhenUsed/>
    <w:rsid w:val="00C06898"/>
    <w:pPr>
      <w:keepNext w:val="0"/>
      <w:keepLines w:val="0"/>
      <w:ind w:left="144"/>
      <w:jc w:val="left"/>
      <w:outlineLvl w:val="9"/>
    </w:pPr>
    <w:rPr>
      <w:rFonts w:eastAsiaTheme="minorEastAsia" w:cs="Calibri (Body)"/>
      <w:bCs/>
      <w:color w:val="000000" w:themeColor="text1"/>
      <w:sz w:val="22"/>
      <w:szCs w:val="22"/>
    </w:rPr>
  </w:style>
  <w:style w:type="paragraph" w:styleId="TOC3">
    <w:name w:val="toc 3"/>
    <w:basedOn w:val="Heading3"/>
    <w:next w:val="Normal"/>
    <w:autoRedefine/>
    <w:uiPriority w:val="39"/>
    <w:semiHidden/>
    <w:unhideWhenUsed/>
    <w:rsid w:val="0037578B"/>
    <w:pPr>
      <w:ind w:left="475"/>
    </w:pPr>
  </w:style>
  <w:style w:type="paragraph" w:styleId="TOC4">
    <w:name w:val="toc 4"/>
    <w:basedOn w:val="Heading4"/>
    <w:next w:val="Normal"/>
    <w:autoRedefine/>
    <w:uiPriority w:val="39"/>
    <w:semiHidden/>
    <w:unhideWhenUsed/>
    <w:rsid w:val="0037578B"/>
    <w:pPr>
      <w:ind w:left="720"/>
    </w:pPr>
  </w:style>
  <w:style w:type="paragraph" w:styleId="TOCHeading">
    <w:name w:val="TOC Heading"/>
    <w:basedOn w:val="Heading1"/>
    <w:next w:val="Normal"/>
    <w:uiPriority w:val="39"/>
    <w:semiHidden/>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8A3CDD"/>
    <w:pPr>
      <w:tabs>
        <w:tab w:val="right" w:pos="9360"/>
      </w:tabs>
      <w:jc w:val="center"/>
    </w:pPr>
    <w:rPr>
      <w:rFonts w:ascii="Calibri" w:hAnsi="Calibri"/>
      <w:i/>
      <w:color w:val="4472C4" w:themeColor="accent1"/>
      <w:sz w:val="18"/>
    </w:rPr>
  </w:style>
  <w:style w:type="character" w:customStyle="1" w:styleId="FooterChar">
    <w:name w:val="Footer Char"/>
    <w:basedOn w:val="DefaultParagraphFont"/>
    <w:link w:val="Footer"/>
    <w:uiPriority w:val="99"/>
    <w:rsid w:val="008A3CDD"/>
    <w:rPr>
      <w:rFonts w:ascii="Calibri" w:hAnsi="Calibri"/>
      <w:i/>
      <w:color w:val="4472C4" w:themeColor="accent1"/>
      <w:sz w:val="18"/>
    </w:rPr>
  </w:style>
  <w:style w:type="character" w:styleId="FootnoteReference">
    <w:name w:val="footnote reference"/>
    <w:basedOn w:val="DefaultParagraphFont"/>
    <w:uiPriority w:val="99"/>
    <w:unhideWhenUsed/>
    <w:qFormat/>
    <w:rsid w:val="004A126A"/>
    <w:rPr>
      <w:rFonts w:ascii="Calibri" w:hAnsi="Calibri"/>
      <w:color w:val="4472C4" w:themeColor="accent1"/>
      <w:sz w:val="21"/>
      <w:vertAlign w:val="superscript"/>
    </w:rPr>
  </w:style>
  <w:style w:type="paragraph" w:styleId="FootnoteText">
    <w:name w:val="footnote text"/>
    <w:basedOn w:val="Normal"/>
    <w:link w:val="FootnoteTextChar"/>
    <w:uiPriority w:val="99"/>
    <w:unhideWhenUsed/>
    <w:rsid w:val="00B42CDC"/>
    <w:pPr>
      <w:tabs>
        <w:tab w:val="left" w:pos="187"/>
      </w:tabs>
      <w:ind w:left="187" w:hanging="187"/>
    </w:pPr>
    <w:rPr>
      <w:rFonts w:eastAsiaTheme="minorEastAsia" w:cstheme="minorBidi"/>
      <w:color w:val="000000" w:themeColor="text1"/>
      <w:sz w:val="18"/>
      <w:szCs w:val="20"/>
      <w:lang w:eastAsia="ja-JP"/>
    </w:rPr>
  </w:style>
  <w:style w:type="character" w:customStyle="1" w:styleId="FootnoteTextChar">
    <w:name w:val="Footnote Text Char"/>
    <w:basedOn w:val="DefaultParagraphFont"/>
    <w:link w:val="FootnoteText"/>
    <w:uiPriority w:val="99"/>
    <w:rsid w:val="00B42CDC"/>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472C4" w:themeColor="accent1"/>
      <w:sz w:val="20"/>
    </w:rPr>
  </w:style>
  <w:style w:type="paragraph" w:styleId="Bibliography">
    <w:name w:val="Bibliography"/>
    <w:basedOn w:val="Normal"/>
    <w:next w:val="Normal"/>
    <w:autoRedefine/>
    <w:uiPriority w:val="37"/>
    <w:unhideWhenUsed/>
    <w:rsid w:val="001A5A64"/>
    <w:pPr>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472C4" w:themeColor="accent1"/>
      <w:sz w:val="20"/>
    </w:rPr>
  </w:style>
  <w:style w:type="character" w:customStyle="1" w:styleId="Placeholder">
    <w:name w:val="Placeholder"/>
    <w:basedOn w:val="DefaultParagraphFont"/>
    <w:uiPriority w:val="1"/>
    <w:qFormat/>
    <w:rsid w:val="00AD5741"/>
    <w:rPr>
      <w:rFonts w:ascii="Garamond" w:hAnsi="Garamond"/>
      <w:color w:val="C00000"/>
      <w:sz w:val="24"/>
    </w:rPr>
  </w:style>
  <w:style w:type="character" w:customStyle="1" w:styleId="Style1">
    <w:name w:val="Style1"/>
    <w:basedOn w:val="DefaultParagraphFont"/>
    <w:uiPriority w:val="1"/>
    <w:qFormat/>
    <w:rsid w:val="007564C0"/>
    <w:rPr>
      <w:rFonts w:ascii="Calibri Light" w:hAnsi="Calibri Light"/>
      <w:b w:val="0"/>
      <w:i/>
      <w:color w:val="4472C4" w:themeColor="accent1"/>
      <w:sz w:val="22"/>
    </w:rPr>
  </w:style>
  <w:style w:type="character" w:customStyle="1" w:styleId="Heading5">
    <w:name w:val="Heading #5"/>
    <w:basedOn w:val="DefaultParagraphFont"/>
    <w:uiPriority w:val="1"/>
    <w:qFormat/>
    <w:rsid w:val="00076796"/>
    <w:rPr>
      <w:rFonts w:ascii="Calibri Light" w:hAnsi="Calibri Light"/>
      <w:b w:val="0"/>
      <w:i/>
      <w:color w:val="4472C4" w:themeColor="accent1"/>
      <w:sz w:val="22"/>
    </w:rPr>
  </w:style>
  <w:style w:type="paragraph" w:customStyle="1" w:styleId="TableCaption">
    <w:name w:val="Table Caption"/>
    <w:basedOn w:val="Normal"/>
    <w:qFormat/>
    <w:rsid w:val="002012B5"/>
    <w:pPr>
      <w:tabs>
        <w:tab w:val="left" w:pos="900"/>
      </w:tabs>
      <w:ind w:left="900" w:hanging="900"/>
    </w:pPr>
    <w:rPr>
      <w:rFonts w:eastAsiaTheme="minorEastAsia" w:cstheme="minorBidi"/>
      <w:i/>
      <w:color w:val="4472C4" w:themeColor="accent1"/>
      <w:sz w:val="22"/>
      <w:lang w:eastAsia="ja-JP"/>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037608"/>
    <w:pPr>
      <w:keepLines/>
    </w:pPr>
    <w:rPr>
      <w:rFonts w:cs="Calibri"/>
      <w:szCs w:val="18"/>
    </w:rPr>
  </w:style>
  <w:style w:type="paragraph" w:customStyle="1" w:styleId="TableHeader">
    <w:name w:val="Table Header"/>
    <w:basedOn w:val="TableContents"/>
    <w:qFormat/>
    <w:rsid w:val="00037608"/>
    <w:rPr>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472C4" w:themeColor="accent1"/>
        <w:left w:val="single" w:sz="18" w:space="0" w:color="4472C4" w:themeColor="accent1"/>
        <w:bottom w:val="single" w:sz="18" w:space="0" w:color="4472C4" w:themeColor="accent1"/>
        <w:right w:val="single" w:sz="18" w:space="0" w:color="4472C4" w:themeColor="accent1"/>
        <w:insideH w:val="single" w:sz="4" w:space="0" w:color="D9E2F3" w:themeColor="accent1" w:themeTint="33"/>
        <w:insideV w:val="single" w:sz="4" w:space="0" w:color="D9E2F3" w:themeColor="accent1" w:themeTint="33"/>
      </w:tblBorders>
    </w:tblPr>
    <w:tcPr>
      <w:shd w:val="clear" w:color="auto" w:fill="FFFFFF" w:themeFill="background1"/>
    </w:tcPr>
  </w:style>
  <w:style w:type="paragraph" w:customStyle="1" w:styleId="BulletsLev1">
    <w:name w:val="Bullets Lev 1"/>
    <w:basedOn w:val="ListParagraph"/>
    <w:qFormat/>
    <w:rsid w:val="00B42CDC"/>
    <w:pPr>
      <w:numPr>
        <w:numId w:val="23"/>
      </w:numPr>
    </w:pPr>
    <w:rPr>
      <w:rFonts w:eastAsiaTheme="minorEastAsia" w:cstheme="minorBidi"/>
      <w:color w:val="000000" w:themeColor="text1"/>
      <w:lang w:eastAsia="ja-JP"/>
    </w:r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2012B5"/>
    <w:rPr>
      <w:rFonts w:ascii="Garamond" w:hAnsi="Garamond"/>
      <w:b/>
      <w:i/>
      <w:color w:val="4472C4" w:themeColor="accent1"/>
      <w:sz w:val="22"/>
    </w:rPr>
  </w:style>
  <w:style w:type="paragraph" w:customStyle="1" w:styleId="FigureCaption">
    <w:name w:val="Figure Caption"/>
    <w:basedOn w:val="TableCaption"/>
    <w:next w:val="Normal"/>
    <w:qFormat/>
    <w:rsid w:val="002012B5"/>
    <w:pPr>
      <w:tabs>
        <w:tab w:val="clear" w:pos="900"/>
      </w:tabs>
      <w:ind w:left="0" w:firstLine="0"/>
    </w:pPr>
    <w:rPr>
      <w:i w:val="0"/>
    </w:rPr>
  </w:style>
  <w:style w:type="paragraph" w:customStyle="1" w:styleId="BulletLev3">
    <w:name w:val="Bullet Lev 3"/>
    <w:basedOn w:val="Normal"/>
    <w:qFormat/>
    <w:rsid w:val="00B42CDC"/>
    <w:pPr>
      <w:numPr>
        <w:ilvl w:val="2"/>
        <w:numId w:val="23"/>
      </w:numPr>
      <w:contextualSpacing/>
    </w:pPr>
    <w:rPr>
      <w:i/>
    </w:rPr>
  </w:style>
  <w:style w:type="paragraph" w:customStyle="1" w:styleId="BulletsLev2">
    <w:name w:val="Bullets Lev 2"/>
    <w:basedOn w:val="BulletsLev1"/>
    <w:qFormat/>
    <w:rsid w:val="00B42CDC"/>
    <w:pPr>
      <w:numPr>
        <w:ilvl w:val="1"/>
      </w:numPr>
    </w:pPr>
  </w:style>
  <w:style w:type="paragraph" w:customStyle="1" w:styleId="BulletsLev4">
    <w:name w:val="Bullets Lev 4"/>
    <w:basedOn w:val="BulletLev3"/>
    <w:qFormat/>
    <w:rsid w:val="00612AAA"/>
    <w:pPr>
      <w:numPr>
        <w:ilvl w:val="0"/>
        <w:numId w:val="18"/>
      </w:numPr>
    </w:pPr>
    <w:rPr>
      <w:i w:val="0"/>
    </w:rPr>
  </w:style>
  <w:style w:type="paragraph" w:customStyle="1" w:styleId="Documents">
    <w:name w:val="Documents"/>
    <w:basedOn w:val="Normal"/>
    <w:link w:val="DocumentsChar"/>
    <w:qFormat/>
    <w:rsid w:val="003C5307"/>
    <w:rPr>
      <w:rFonts w:asciiTheme="minorHAnsi" w:hAnsiTheme="minorHAnsi"/>
      <w:color w:val="7F7F7F" w:themeColor="text1" w:themeTint="80"/>
      <w:sz w:val="20"/>
    </w:rPr>
  </w:style>
  <w:style w:type="character" w:customStyle="1" w:styleId="DocumentsChar">
    <w:name w:val="Documents Char"/>
    <w:basedOn w:val="DefaultParagraphFont"/>
    <w:link w:val="Documents"/>
    <w:rsid w:val="003C5307"/>
    <w:rPr>
      <w:rFonts w:ascii="Garamond" w:eastAsiaTheme="minorEastAsia" w:hAnsi="Garamond"/>
      <w:color w:val="7F7F7F" w:themeColor="text1" w:themeTint="80"/>
      <w:sz w:val="20"/>
      <w:lang w:eastAsia="ja-JP"/>
    </w:rPr>
  </w:style>
  <w:style w:type="character" w:customStyle="1" w:styleId="Role">
    <w:name w:val="Role"/>
    <w:basedOn w:val="DefaultParagraphFont"/>
    <w:uiPriority w:val="1"/>
    <w:qFormat/>
    <w:rsid w:val="00FF047C"/>
    <w:rPr>
      <w:rFonts w:asciiTheme="minorHAnsi" w:hAnsiTheme="minorHAnsi"/>
      <w:b w:val="0"/>
      <w:color w:val="C45911" w:themeColor="accent2" w:themeShade="BF"/>
      <w:sz w:val="21"/>
    </w:rPr>
  </w:style>
  <w:style w:type="paragraph" w:customStyle="1" w:styleId="SmallBulletsLev1">
    <w:name w:val="Small Bullets Lev 1"/>
    <w:basedOn w:val="BulletsLev2"/>
    <w:rsid w:val="003514FF"/>
    <w:pPr>
      <w:numPr>
        <w:ilvl w:val="0"/>
        <w:numId w:val="21"/>
      </w:numPr>
      <w:tabs>
        <w:tab w:val="left" w:pos="3420"/>
      </w:tabs>
    </w:pPr>
    <w:rPr>
      <w:rFonts w:asciiTheme="minorHAnsi" w:hAnsiTheme="minorHAnsi"/>
      <w:color w:val="4472C4" w:themeColor="accent1"/>
      <w:sz w:val="20"/>
    </w:rPr>
  </w:style>
  <w:style w:type="paragraph" w:customStyle="1" w:styleId="Style3">
    <w:name w:val="Style3"/>
    <w:basedOn w:val="BulletsLev2"/>
    <w:rsid w:val="003514FF"/>
    <w:pPr>
      <w:tabs>
        <w:tab w:val="left" w:pos="3420"/>
      </w:tabs>
      <w:ind w:left="540" w:hanging="270"/>
    </w:pPr>
    <w:rPr>
      <w:rFonts w:asciiTheme="minorHAnsi" w:hAnsiTheme="minorHAnsi"/>
      <w:color w:val="4472C4" w:themeColor="accent1"/>
      <w:sz w:val="20"/>
    </w:rPr>
  </w:style>
  <w:style w:type="character" w:customStyle="1" w:styleId="Team">
    <w:name w:val="Team"/>
    <w:basedOn w:val="DefaultParagraphFont"/>
    <w:uiPriority w:val="1"/>
    <w:qFormat/>
    <w:rsid w:val="00EE53A6"/>
    <w:rPr>
      <w:rFonts w:asciiTheme="minorHAnsi" w:hAnsiTheme="minorHAnsi" w:cstheme="minorHAnsi"/>
      <w:b w:val="0"/>
      <w:i/>
      <w:color w:val="7030A0"/>
      <w:sz w:val="21"/>
      <w:lang w:eastAsia="en-US"/>
    </w:rPr>
  </w:style>
  <w:style w:type="character" w:customStyle="1" w:styleId="Heading5-Custom">
    <w:name w:val="Heading 5-Custom"/>
    <w:basedOn w:val="DefaultParagraphFont"/>
    <w:uiPriority w:val="1"/>
    <w:qFormat/>
    <w:rsid w:val="00506679"/>
    <w:rPr>
      <w:rFonts w:asciiTheme="minorHAnsi" w:hAnsiTheme="minorHAnsi" w:cstheme="majorHAnsi"/>
      <w:i/>
      <w:color w:val="4472C4" w:themeColor="accent1"/>
      <w:sz w:val="24"/>
    </w:rPr>
  </w:style>
  <w:style w:type="paragraph" w:customStyle="1" w:styleId="TOCTitle">
    <w:name w:val="TOC Title"/>
    <w:basedOn w:val="Normal"/>
    <w:qFormat/>
    <w:rsid w:val="005B6441"/>
    <w:pPr>
      <w:jc w:val="center"/>
    </w:pPr>
    <w:rPr>
      <w:rFonts w:asciiTheme="minorHAnsi" w:hAnsiTheme="minorHAnsi" w:cs="Times New Roman (Body CS)"/>
      <w:b/>
      <w:caps/>
      <w:color w:val="4472C4" w:themeColor="accent1"/>
    </w:rPr>
  </w:style>
  <w:style w:type="character" w:styleId="FollowedHyperlink">
    <w:name w:val="FollowedHyperlink"/>
    <w:basedOn w:val="DefaultParagraphFont"/>
    <w:uiPriority w:val="99"/>
    <w:semiHidden/>
    <w:unhideWhenUsed/>
    <w:rsid w:val="00825EAE"/>
    <w:rPr>
      <w:rFonts w:asciiTheme="minorHAnsi" w:hAnsiTheme="minorHAnsi"/>
      <w:color w:val="954F72" w:themeColor="followedHyperlink"/>
      <w:sz w:val="24"/>
      <w:u w:val="single"/>
    </w:rPr>
  </w:style>
  <w:style w:type="paragraph" w:customStyle="1" w:styleId="FrontMatter">
    <w:name w:val="Front Matter"/>
    <w:basedOn w:val="Normal"/>
    <w:qFormat/>
    <w:rsid w:val="00825EAE"/>
    <w:rPr>
      <w:rFonts w:asciiTheme="minorHAnsi" w:hAnsiTheme="minorHAnsi"/>
      <w:sz w:val="19"/>
      <w:szCs w:val="19"/>
    </w:rPr>
  </w:style>
  <w:style w:type="character" w:customStyle="1" w:styleId="SectionorObject">
    <w:name w:val="Section or Object"/>
    <w:uiPriority w:val="1"/>
    <w:qFormat/>
    <w:rsid w:val="00037608"/>
    <w:rPr>
      <w:rFonts w:asciiTheme="minorHAnsi" w:hAnsiTheme="minorHAnsi"/>
      <w:b w:val="0"/>
      <w:i w:val="0"/>
      <w:color w:val="000000" w:themeColor="text1"/>
      <w:sz w:val="21"/>
    </w:rPr>
  </w:style>
  <w:style w:type="table" w:styleId="TableGrid">
    <w:name w:val="Table Grid"/>
    <w:basedOn w:val="TableNormal"/>
    <w:uiPriority w:val="39"/>
    <w:rsid w:val="00FC28A5"/>
    <w:rPr>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FC28A5"/>
    <w:rPr>
      <w:color w:val="0563C1" w:themeColor="hyperlink"/>
      <w:u w:val="single"/>
    </w:rPr>
  </w:style>
  <w:style w:type="paragraph" w:customStyle="1" w:styleId="Spacer">
    <w:name w:val="Spacer"/>
    <w:next w:val="Normal"/>
    <w:link w:val="SpacerChar"/>
    <w:qFormat/>
    <w:rsid w:val="00FC28A5"/>
    <w:rPr>
      <w:rFonts w:ascii="Garamond" w:eastAsiaTheme="minorEastAsia" w:hAnsi="Garamond"/>
      <w:color w:val="000000" w:themeColor="text1"/>
      <w:lang w:eastAsia="ja-JP"/>
    </w:rPr>
  </w:style>
  <w:style w:type="character" w:customStyle="1" w:styleId="SpacerChar">
    <w:name w:val="Spacer Char"/>
    <w:basedOn w:val="DefaultParagraphFont"/>
    <w:link w:val="Spacer"/>
    <w:rsid w:val="00FC28A5"/>
    <w:rPr>
      <w:rFonts w:ascii="Garamond" w:eastAsiaTheme="minorEastAsia" w:hAnsi="Garamond"/>
      <w:color w:val="000000" w:themeColor="text1"/>
      <w:lang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6.jpeg"/><Relationship Id="rId18" Type="http://schemas.openxmlformats.org/officeDocument/2006/relationships/image" Target="media/image9.png"/><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footer" Target="footer4.xml"/><Relationship Id="rId7" Type="http://schemas.openxmlformats.org/officeDocument/2006/relationships/header" Target="header1.xml"/><Relationship Id="rId12" Type="http://schemas.openxmlformats.org/officeDocument/2006/relationships/image" Target="media/image5.jpeg"/><Relationship Id="rId17" Type="http://schemas.openxmlformats.org/officeDocument/2006/relationships/image" Target="media/image8.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20" Type="http://schemas.openxmlformats.org/officeDocument/2006/relationships/image" Target="media/image11.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tiff"/><Relationship Id="rId24" Type="http://schemas.openxmlformats.org/officeDocument/2006/relationships/footer" Target="footer6.xml"/><Relationship Id="rId5" Type="http://schemas.openxmlformats.org/officeDocument/2006/relationships/footnotes" Target="footnotes.xml"/><Relationship Id="rId15" Type="http://schemas.openxmlformats.org/officeDocument/2006/relationships/header" Target="header2.xml"/><Relationship Id="rId23" Type="http://schemas.openxmlformats.org/officeDocument/2006/relationships/header" Target="header3.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webSettings" Target="webSettings.xml"/><Relationship Id="rId9" Type="http://schemas.openxmlformats.org/officeDocument/2006/relationships/footer" Target="footer2.xml"/><Relationship Id="rId14" Type="http://schemas.openxmlformats.org/officeDocument/2006/relationships/image" Target="media/image7.png"/><Relationship Id="rId22" Type="http://schemas.openxmlformats.org/officeDocument/2006/relationships/footer" Target="footer5.xml"/></Relationships>
</file>

<file path=word/_rels/footer2.xml.rels><?xml version="1.0" encoding="UTF-8" standalone="yes"?>
<Relationships xmlns="http://schemas.openxmlformats.org/package/2006/relationships"><Relationship Id="rId3" Type="http://schemas.openxmlformats.org/officeDocument/2006/relationships/image" Target="media/image2.svg"/><Relationship Id="rId2" Type="http://schemas.openxmlformats.org/officeDocument/2006/relationships/image" Target="media/image1.png"/><Relationship Id="rId1" Type="http://schemas.openxmlformats.org/officeDocument/2006/relationships/hyperlink" Target="https://creativecommons.org/licenses/by/4.0/" TargetMode="External"/><Relationship Id="rId5" Type="http://schemas.openxmlformats.org/officeDocument/2006/relationships/hyperlink" Target="https://www.nciea.org/dasd-toolkit/" TargetMode="External"/><Relationship Id="rId4" Type="http://schemas.openxmlformats.org/officeDocument/2006/relationships/hyperlink" Target="https://www.nciea.org/dasd-toolkit" TargetMode="External"/></Relationships>
</file>

<file path=word/_rels/footer4.xml.rels><?xml version="1.0" encoding="UTF-8" standalone="yes"?>
<Relationships xmlns="http://schemas.openxmlformats.org/package/2006/relationships"><Relationship Id="rId1" Type="http://schemas.openxmlformats.org/officeDocument/2006/relationships/image" Target="media/image12.png"/></Relationships>
</file>

<file path=word/_rels/footer5.xml.rels><?xml version="1.0" encoding="UTF-8" standalone="yes"?>
<Relationships xmlns="http://schemas.openxmlformats.org/package/2006/relationships"><Relationship Id="rId1" Type="http://schemas.openxmlformats.org/officeDocument/2006/relationships/image" Target="media/image12.png"/></Relationships>
</file>

<file path=word/_rels/footer6.xml.rels><?xml version="1.0" encoding="UTF-8" standalone="yes"?>
<Relationships xmlns="http://schemas.openxmlformats.org/package/2006/relationships"><Relationship Id="rId1"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3.xml.rels><?xml version="1.0" encoding="UTF-8" standalone="yes"?>
<Relationships xmlns="http://schemas.openxmlformats.org/package/2006/relationships"><Relationship Id="rId1" Type="http://schemas.openxmlformats.org/officeDocument/2006/relationships/image" Target="media/image3.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BlueAPA.dotx</Template>
  <TotalTime>89</TotalTime>
  <Pages>16</Pages>
  <Words>3322</Words>
  <Characters>18937</Characters>
  <Application>Microsoft Office Word</Application>
  <DocSecurity>0</DocSecurity>
  <Lines>157</Lines>
  <Paragraphs>44</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22215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12</cp:revision>
  <dcterms:created xsi:type="dcterms:W3CDTF">2018-06-29T12:17:00Z</dcterms:created>
  <dcterms:modified xsi:type="dcterms:W3CDTF">2018-06-29T14:50:00Z</dcterms:modified>
</cp:coreProperties>
</file>