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Style w:val="APAReport"/>
        <w:tblW w:w="0" w:type="auto"/>
        <w:tblBorders>
          <w:top w:val="none" w:sz="0" w:space="0" w:color="auto"/>
          <w:bottom w:val="none" w:sz="0" w:space="0" w:color="auto"/>
        </w:tblBorders>
        <w:shd w:val="clear" w:color="auto" w:fill="DBE5F1" w:themeFill="accent1" w:themeFillTint="33"/>
        <w:tblLook w:val="04A0" w:firstRow="1" w:lastRow="0" w:firstColumn="1" w:lastColumn="0" w:noHBand="0" w:noVBand="1"/>
      </w:tblPr>
      <w:tblGrid>
        <w:gridCol w:w="4742"/>
        <w:gridCol w:w="4834"/>
      </w:tblGrid>
      <w:tr w:rsidR="00A32D5F" w:rsidRPr="005918EF" w:rsidTr="00170D10">
        <w:trPr>
          <w:cnfStyle w:val="100000000000" w:firstRow="1" w:lastRow="0" w:firstColumn="0" w:lastColumn="0" w:oddVBand="0" w:evenVBand="0" w:oddHBand="0" w:evenHBand="0" w:firstRowFirstColumn="0" w:firstRowLastColumn="0" w:lastRowFirstColumn="0" w:lastRowLastColumn="0"/>
        </w:trPr>
        <w:tc>
          <w:tcPr>
            <w:tcW w:w="1101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DBE5F1" w:themeFill="accent1" w:themeFillTint="33"/>
          </w:tcPr>
          <w:p w:rsidR="00A32D5F" w:rsidRPr="005918EF" w:rsidRDefault="00A32D5F" w:rsidP="00170D10">
            <w:pPr>
              <w:pStyle w:val="Title"/>
              <w:rPr>
                <w:color w:val="244061" w:themeColor="accent1" w:themeShade="80"/>
                <w:sz w:val="6"/>
                <w:szCs w:val="6"/>
              </w:rPr>
            </w:pPr>
          </w:p>
        </w:tc>
      </w:tr>
      <w:tr w:rsidR="00A32D5F" w:rsidRPr="008E50E3" w:rsidTr="00170D10">
        <w:tc>
          <w:tcPr>
            <w:tcW w:w="11016" w:type="dxa"/>
            <w:gridSpan w:val="2"/>
            <w:shd w:val="clear" w:color="auto" w:fill="DBE5F1" w:themeFill="accent1" w:themeFillTint="33"/>
          </w:tcPr>
          <w:p w:rsidR="00A32D5F" w:rsidRDefault="00A32D5F" w:rsidP="00170D10">
            <w:pPr>
              <w:pStyle w:val="Title"/>
              <w:rPr>
                <w:sz w:val="24"/>
              </w:rPr>
            </w:pPr>
            <w:r>
              <w:rPr>
                <w:sz w:val="24"/>
              </w:rPr>
              <w:t>Assessment RFP Development Toolkit</w:t>
            </w:r>
          </w:p>
          <w:p w:rsidR="00A32D5F" w:rsidRPr="006E3C17" w:rsidRDefault="00BC2D71" w:rsidP="00170D10">
            <w:pPr>
              <w:pStyle w:val="Title"/>
              <w:rPr>
                <w:sz w:val="24"/>
              </w:rPr>
            </w:pPr>
            <w:r>
              <w:rPr>
                <w:sz w:val="24"/>
              </w:rPr>
              <w:t>Model Bidder Instructions for Completing the Cost Proposal Wor</w:t>
            </w:r>
            <w:r w:rsidR="00AA2551">
              <w:rPr>
                <w:sz w:val="24"/>
              </w:rPr>
              <w:t>k</w:t>
            </w:r>
            <w:bookmarkStart w:id="0" w:name="_GoBack"/>
            <w:bookmarkEnd w:id="0"/>
            <w:r>
              <w:rPr>
                <w:sz w:val="24"/>
              </w:rPr>
              <w:t>book</w:t>
            </w:r>
          </w:p>
        </w:tc>
      </w:tr>
      <w:tr w:rsidR="00A32D5F" w:rsidRPr="00E23733" w:rsidTr="00170D10">
        <w:tc>
          <w:tcPr>
            <w:tcW w:w="11016" w:type="dxa"/>
            <w:gridSpan w:val="2"/>
            <w:shd w:val="clear" w:color="auto" w:fill="DBE5F1" w:themeFill="accent1" w:themeFillTint="33"/>
          </w:tcPr>
          <w:p w:rsidR="00A32D5F" w:rsidRPr="00E23733" w:rsidRDefault="00A32D5F" w:rsidP="00170D10">
            <w:pPr>
              <w:pStyle w:val="Title"/>
              <w:rPr>
                <w:color w:val="244061" w:themeColor="accent1" w:themeShade="80"/>
                <w:sz w:val="8"/>
                <w:szCs w:val="8"/>
              </w:rPr>
            </w:pPr>
          </w:p>
        </w:tc>
      </w:tr>
      <w:tr w:rsidR="00A32D5F" w:rsidRPr="008E50E3" w:rsidTr="00170D10">
        <w:tc>
          <w:tcPr>
            <w:tcW w:w="5508" w:type="dxa"/>
            <w:shd w:val="clear" w:color="auto" w:fill="DBE5F1" w:themeFill="accent1" w:themeFillTint="33"/>
            <w:vAlign w:val="center"/>
          </w:tcPr>
          <w:p w:rsidR="00A32D5F" w:rsidRPr="006E3C17" w:rsidRDefault="00A32D5F" w:rsidP="00170D10">
            <w:pPr>
              <w:shd w:val="clear" w:color="auto" w:fill="DBE5F1" w:themeFill="accent1" w:themeFillTint="33"/>
              <w:jc w:val="right"/>
              <w:rPr>
                <w:color w:val="4F81BD" w:themeColor="accent1"/>
              </w:rPr>
            </w:pPr>
            <w:r w:rsidRPr="006E3C17">
              <w:rPr>
                <w:color w:val="4F81BD" w:themeColor="accent1"/>
              </w:rPr>
              <w:t>Joseph A Martineau</w:t>
            </w:r>
          </w:p>
          <w:p w:rsidR="00A32D5F" w:rsidRPr="008E50E3" w:rsidRDefault="00A32D5F" w:rsidP="00170D10">
            <w:pPr>
              <w:shd w:val="clear" w:color="auto" w:fill="DBE5F1" w:themeFill="accent1" w:themeFillTint="33"/>
              <w:jc w:val="right"/>
              <w:rPr>
                <w:color w:val="365F91" w:themeColor="accent1" w:themeShade="BF"/>
              </w:rPr>
            </w:pPr>
            <w:r w:rsidRPr="006E3C17">
              <w:rPr>
                <w:color w:val="4F81BD" w:themeColor="accent1"/>
              </w:rPr>
              <w:t>Senior Associate</w:t>
            </w:r>
          </w:p>
        </w:tc>
        <w:tc>
          <w:tcPr>
            <w:tcW w:w="5508" w:type="dxa"/>
            <w:shd w:val="clear" w:color="auto" w:fill="DBE5F1" w:themeFill="accent1" w:themeFillTint="33"/>
            <w:vAlign w:val="center"/>
          </w:tcPr>
          <w:p w:rsidR="00A32D5F" w:rsidRPr="008E50E3" w:rsidRDefault="00A32D5F" w:rsidP="00170D10">
            <w:pPr>
              <w:pStyle w:val="Title"/>
              <w:jc w:val="left"/>
              <w:rPr>
                <w:color w:val="244061" w:themeColor="accent1" w:themeShade="80"/>
                <w:sz w:val="24"/>
              </w:rPr>
            </w:pPr>
            <w:r w:rsidRPr="008E50E3">
              <w:rPr>
                <w:caps/>
                <w:sz w:val="24"/>
              </w:rPr>
              <w:drawing>
                <wp:inline distT="0" distB="0" distL="0" distR="0" wp14:anchorId="02D781EC" wp14:editId="209FEC30">
                  <wp:extent cx="978408" cy="329184"/>
                  <wp:effectExtent l="0" t="0" r="0" b="0"/>
                  <wp:docPr id="241" name="Picture 2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978408" cy="329184"/>
                          </a:xfrm>
                          <a:prstGeom prst="rect">
                            <a:avLst/>
                          </a:prstGeom>
                          <a:noFill/>
                          <a:ln>
                            <a:noFill/>
                          </a:ln>
                        </pic:spPr>
                      </pic:pic>
                    </a:graphicData>
                  </a:graphic>
                </wp:inline>
              </w:drawing>
            </w:r>
          </w:p>
        </w:tc>
      </w:tr>
      <w:tr w:rsidR="00A32D5F" w:rsidRPr="008C511D" w:rsidTr="00170D10">
        <w:tc>
          <w:tcPr>
            <w:tcW w:w="11016" w:type="dxa"/>
            <w:gridSpan w:val="2"/>
            <w:shd w:val="clear" w:color="auto" w:fill="DBE5F1" w:themeFill="accent1" w:themeFillTint="33"/>
          </w:tcPr>
          <w:p w:rsidR="00A32D5F" w:rsidRPr="008C511D" w:rsidRDefault="00A32D5F" w:rsidP="00170D10">
            <w:pPr>
              <w:pStyle w:val="Title"/>
              <w:rPr>
                <w:color w:val="244061" w:themeColor="accent1" w:themeShade="80"/>
                <w:sz w:val="8"/>
                <w:szCs w:val="8"/>
              </w:rPr>
            </w:pPr>
          </w:p>
        </w:tc>
      </w:tr>
    </w:tbl>
    <w:p w:rsidR="00A32D5F" w:rsidRPr="003210C0" w:rsidRDefault="00A32D5F" w:rsidP="00A32D5F">
      <w:pPr>
        <w:rPr>
          <w:rFonts w:eastAsia="Times New Roman" w:cs="Calibri"/>
          <w:bCs/>
          <w:szCs w:val="24"/>
        </w:rPr>
      </w:pPr>
    </w:p>
    <w:p w:rsidR="003210C0" w:rsidRPr="003210C0" w:rsidRDefault="003210C0" w:rsidP="00A32D5F">
      <w:pPr>
        <w:rPr>
          <w:rFonts w:asciiTheme="minorHAnsi" w:eastAsia="Times New Roman" w:hAnsiTheme="minorHAnsi" w:cstheme="minorHAnsi"/>
          <w:b/>
          <w:bCs/>
          <w:color w:val="365F91" w:themeColor="accent1" w:themeShade="BF"/>
          <w:szCs w:val="24"/>
        </w:rPr>
      </w:pPr>
      <w:r w:rsidRPr="003210C0">
        <w:rPr>
          <w:rFonts w:asciiTheme="minorHAnsi" w:eastAsia="Times New Roman" w:hAnsiTheme="minorHAnsi" w:cstheme="minorHAnsi"/>
          <w:b/>
          <w:bCs/>
          <w:color w:val="365F91" w:themeColor="accent1" w:themeShade="BF"/>
          <w:szCs w:val="24"/>
        </w:rPr>
        <w:t>Introduction</w:t>
      </w:r>
    </w:p>
    <w:p w:rsidR="003210C0" w:rsidRDefault="003210C0" w:rsidP="00A32D5F">
      <w:pPr>
        <w:rPr>
          <w:rFonts w:eastAsia="Times New Roman" w:cs="Calibri"/>
          <w:bCs/>
          <w:szCs w:val="24"/>
        </w:rPr>
      </w:pPr>
    </w:p>
    <w:p w:rsidR="00043E4D" w:rsidRDefault="00043E4D" w:rsidP="00A32D5F">
      <w:pPr>
        <w:rPr>
          <w:rFonts w:eastAsia="Times New Roman" w:cs="Calibri"/>
          <w:bCs/>
          <w:szCs w:val="24"/>
        </w:rPr>
      </w:pPr>
      <w:r>
        <w:rPr>
          <w:rFonts w:eastAsia="Times New Roman" w:cs="Calibri"/>
          <w:bCs/>
          <w:szCs w:val="24"/>
        </w:rPr>
        <w:t xml:space="preserve">The cost proposal workbook has two tabs: </w:t>
      </w:r>
      <w:r w:rsidR="00533356">
        <w:rPr>
          <w:rFonts w:eastAsia="Times New Roman" w:cs="Calibri"/>
          <w:bCs/>
          <w:szCs w:val="24"/>
        </w:rPr>
        <w:t>“</w:t>
      </w:r>
      <w:r w:rsidRPr="00533356">
        <w:rPr>
          <w:rFonts w:eastAsia="Times New Roman" w:cs="Calibri"/>
          <w:bCs/>
          <w:szCs w:val="24"/>
        </w:rPr>
        <w:t>standard pricing</w:t>
      </w:r>
      <w:r w:rsidR="00533356">
        <w:rPr>
          <w:rFonts w:eastAsia="Times New Roman" w:cs="Calibri"/>
          <w:bCs/>
          <w:szCs w:val="24"/>
        </w:rPr>
        <w:t>”</w:t>
      </w:r>
      <w:r w:rsidRPr="00533356">
        <w:rPr>
          <w:rFonts w:eastAsia="Times New Roman" w:cs="Calibri"/>
          <w:bCs/>
          <w:szCs w:val="24"/>
        </w:rPr>
        <w:t xml:space="preserve"> and </w:t>
      </w:r>
      <w:r w:rsidR="00533356">
        <w:rPr>
          <w:rFonts w:eastAsia="Times New Roman" w:cs="Calibri"/>
          <w:bCs/>
          <w:szCs w:val="24"/>
        </w:rPr>
        <w:t>“</w:t>
      </w:r>
      <w:r w:rsidRPr="00533356">
        <w:rPr>
          <w:rFonts w:eastAsia="Times New Roman" w:cs="Calibri"/>
          <w:bCs/>
          <w:szCs w:val="24"/>
        </w:rPr>
        <w:t>contract change pricing</w:t>
      </w:r>
      <w:r>
        <w:rPr>
          <w:rFonts w:eastAsia="Times New Roman" w:cs="Calibri"/>
          <w:bCs/>
          <w:szCs w:val="24"/>
        </w:rPr>
        <w:t>.</w:t>
      </w:r>
      <w:r w:rsidR="00533356">
        <w:rPr>
          <w:rFonts w:eastAsia="Times New Roman" w:cs="Calibri"/>
          <w:bCs/>
          <w:szCs w:val="24"/>
        </w:rPr>
        <w:t>”</w:t>
      </w:r>
      <w:r>
        <w:rPr>
          <w:rFonts w:eastAsia="Times New Roman" w:cs="Calibri"/>
          <w:bCs/>
          <w:szCs w:val="24"/>
        </w:rPr>
        <w:t xml:space="preserve"> The standard pricing tab includes cells where bidders may propose costs for each of the </w:t>
      </w:r>
      <w:r w:rsidRPr="00043E4D">
        <w:rPr>
          <w:rFonts w:eastAsia="Times New Roman" w:cs="Calibri"/>
          <w:bCs/>
          <w:szCs w:val="24"/>
          <w:highlight w:val="yellow"/>
        </w:rPr>
        <w:t>&lt;5&gt;</w:t>
      </w:r>
      <w:r>
        <w:rPr>
          <w:rFonts w:eastAsia="Times New Roman" w:cs="Calibri"/>
          <w:bCs/>
          <w:szCs w:val="24"/>
        </w:rPr>
        <w:t xml:space="preserve"> years of a contract that will be developed with the winning bidder. It also includes cells for maximum proposed costs for </w:t>
      </w:r>
      <w:r w:rsidR="00533356">
        <w:rPr>
          <w:rFonts w:eastAsia="Times New Roman" w:cs="Calibri"/>
          <w:bCs/>
          <w:szCs w:val="24"/>
        </w:rPr>
        <w:t xml:space="preserve">each </w:t>
      </w:r>
      <w:r w:rsidR="004326AB">
        <w:rPr>
          <w:rFonts w:eastAsia="Times New Roman" w:cs="Calibri"/>
          <w:bCs/>
          <w:szCs w:val="24"/>
        </w:rPr>
        <w:t xml:space="preserve">of the </w:t>
      </w:r>
      <w:r w:rsidR="004326AB" w:rsidRPr="004326AB">
        <w:rPr>
          <w:rFonts w:eastAsia="Times New Roman" w:cs="Calibri"/>
          <w:bCs/>
          <w:szCs w:val="24"/>
          <w:highlight w:val="yellow"/>
        </w:rPr>
        <w:t>&lt;4&gt;</w:t>
      </w:r>
      <w:r w:rsidR="004326AB">
        <w:rPr>
          <w:rFonts w:eastAsia="Times New Roman" w:cs="Calibri"/>
          <w:bCs/>
          <w:szCs w:val="24"/>
        </w:rPr>
        <w:t xml:space="preserve"> </w:t>
      </w:r>
      <w:r w:rsidR="00533356">
        <w:rPr>
          <w:rFonts w:eastAsia="Times New Roman" w:cs="Calibri"/>
          <w:bCs/>
          <w:szCs w:val="24"/>
        </w:rPr>
        <w:t>potential extension year</w:t>
      </w:r>
      <w:r>
        <w:rPr>
          <w:rFonts w:eastAsia="Times New Roman" w:cs="Calibri"/>
          <w:bCs/>
          <w:szCs w:val="24"/>
        </w:rPr>
        <w:t>.</w:t>
      </w:r>
    </w:p>
    <w:p w:rsidR="00043E4D" w:rsidRPr="003210C0" w:rsidRDefault="00043E4D" w:rsidP="00A32D5F">
      <w:pPr>
        <w:rPr>
          <w:rFonts w:eastAsia="Times New Roman" w:cs="Calibri"/>
          <w:bCs/>
          <w:szCs w:val="24"/>
        </w:rPr>
      </w:pPr>
    </w:p>
    <w:p w:rsidR="003210C0" w:rsidRDefault="003210C0" w:rsidP="00A32D5F">
      <w:pPr>
        <w:rPr>
          <w:rFonts w:eastAsia="Times New Roman" w:cs="Calibri"/>
          <w:bCs/>
          <w:szCs w:val="24"/>
        </w:rPr>
      </w:pPr>
      <w:r>
        <w:rPr>
          <w:rFonts w:eastAsia="Times New Roman" w:cs="Calibri"/>
          <w:bCs/>
          <w:szCs w:val="24"/>
        </w:rPr>
        <w:t>The structure of and level of detail in the cost proposal was developed with the following primary purposes:</w:t>
      </w:r>
    </w:p>
    <w:p w:rsidR="003210C0" w:rsidRDefault="003210C0" w:rsidP="00A32D5F">
      <w:pPr>
        <w:rPr>
          <w:rFonts w:eastAsia="Times New Roman" w:cs="Calibri"/>
          <w:bCs/>
          <w:szCs w:val="24"/>
        </w:rPr>
      </w:pPr>
    </w:p>
    <w:p w:rsidR="003210C0" w:rsidRDefault="003210C0" w:rsidP="003210C0">
      <w:pPr>
        <w:pStyle w:val="ListParagraph"/>
        <w:numPr>
          <w:ilvl w:val="0"/>
          <w:numId w:val="2"/>
        </w:numPr>
        <w:rPr>
          <w:rFonts w:eastAsia="Times New Roman" w:cs="Calibri"/>
          <w:bCs/>
          <w:szCs w:val="24"/>
        </w:rPr>
      </w:pPr>
      <w:r>
        <w:rPr>
          <w:rFonts w:eastAsia="Times New Roman" w:cs="Calibri"/>
          <w:bCs/>
          <w:szCs w:val="24"/>
        </w:rPr>
        <w:t>For the state</w:t>
      </w:r>
    </w:p>
    <w:p w:rsid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Reduce uncertainty for the state in anticipating standard and contract change costs by using fixed costs, volume-based costs, sliding scales for volume-based costs, and separate standard vs. contract change pricing sheets.</w:t>
      </w:r>
    </w:p>
    <w:p w:rsid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Reduce uncertainty for bidders in developing cost proposals.</w:t>
      </w:r>
    </w:p>
    <w:p w:rsid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Improving the ability to compare cost proposals across bidders</w:t>
      </w:r>
    </w:p>
    <w:p w:rsid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Reduce the need for contract changes based on increases or reductions in volume by using volume-based costs and sliding scales for volume-based costs.</w:t>
      </w:r>
    </w:p>
    <w:p w:rsidR="00043E4D" w:rsidRDefault="00043E4D" w:rsidP="003210C0">
      <w:pPr>
        <w:pStyle w:val="ListParagraph"/>
        <w:numPr>
          <w:ilvl w:val="1"/>
          <w:numId w:val="2"/>
        </w:numPr>
        <w:ind w:left="1080"/>
        <w:rPr>
          <w:rFonts w:eastAsia="Times New Roman" w:cs="Calibri"/>
          <w:bCs/>
          <w:szCs w:val="24"/>
        </w:rPr>
      </w:pPr>
      <w:r>
        <w:rPr>
          <w:rFonts w:eastAsia="Times New Roman" w:cs="Calibri"/>
          <w:bCs/>
          <w:szCs w:val="24"/>
        </w:rPr>
        <w:t>Facilitate the process of reviewing and approving invoices submitted by contractors.</w:t>
      </w:r>
    </w:p>
    <w:p w:rsidR="00043E4D" w:rsidRDefault="00043E4D" w:rsidP="003210C0">
      <w:pPr>
        <w:pStyle w:val="ListParagraph"/>
        <w:numPr>
          <w:ilvl w:val="1"/>
          <w:numId w:val="2"/>
        </w:numPr>
        <w:ind w:left="1080"/>
        <w:rPr>
          <w:rFonts w:eastAsia="Times New Roman" w:cs="Calibri"/>
          <w:bCs/>
          <w:szCs w:val="24"/>
        </w:rPr>
      </w:pPr>
      <w:r>
        <w:rPr>
          <w:rFonts w:eastAsia="Times New Roman" w:cs="Calibri"/>
          <w:bCs/>
          <w:szCs w:val="24"/>
        </w:rPr>
        <w:t>Ease the process of any audits of program expenditures.</w:t>
      </w:r>
    </w:p>
    <w:p w:rsidR="003210C0" w:rsidRDefault="003210C0" w:rsidP="003210C0">
      <w:pPr>
        <w:pStyle w:val="ListParagraph"/>
        <w:numPr>
          <w:ilvl w:val="0"/>
          <w:numId w:val="2"/>
        </w:numPr>
        <w:rPr>
          <w:rFonts w:eastAsia="Times New Roman" w:cs="Calibri"/>
          <w:bCs/>
          <w:szCs w:val="24"/>
        </w:rPr>
      </w:pPr>
      <w:r>
        <w:rPr>
          <w:rFonts w:eastAsia="Times New Roman" w:cs="Calibri"/>
          <w:bCs/>
          <w:szCs w:val="24"/>
        </w:rPr>
        <w:t>For bidders</w:t>
      </w:r>
    </w:p>
    <w:p w:rsid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Reduce uncertainty for bidders in developing cost proposals</w:t>
      </w:r>
    </w:p>
    <w:p w:rsid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Reduce uncertainty for the selected vendor in developing cost invoices.</w:t>
      </w:r>
    </w:p>
    <w:p w:rsidR="003210C0" w:rsidRPr="003210C0" w:rsidRDefault="003210C0" w:rsidP="003210C0">
      <w:pPr>
        <w:pStyle w:val="ListParagraph"/>
        <w:numPr>
          <w:ilvl w:val="1"/>
          <w:numId w:val="2"/>
        </w:numPr>
        <w:ind w:left="1080"/>
        <w:rPr>
          <w:rFonts w:eastAsia="Times New Roman" w:cs="Calibri"/>
          <w:bCs/>
          <w:szCs w:val="24"/>
        </w:rPr>
      </w:pPr>
      <w:r>
        <w:rPr>
          <w:rFonts w:eastAsia="Times New Roman" w:cs="Calibri"/>
          <w:bCs/>
          <w:szCs w:val="24"/>
        </w:rPr>
        <w:t xml:space="preserve">Provide a structure for </w:t>
      </w:r>
      <w:r w:rsidR="00043E4D">
        <w:rPr>
          <w:rFonts w:eastAsia="Times New Roman" w:cs="Calibri"/>
          <w:bCs/>
          <w:szCs w:val="24"/>
        </w:rPr>
        <w:t xml:space="preserve">contract change </w:t>
      </w:r>
      <w:r>
        <w:rPr>
          <w:rFonts w:eastAsia="Times New Roman" w:cs="Calibri"/>
          <w:bCs/>
          <w:szCs w:val="24"/>
        </w:rPr>
        <w:t>cost proposals</w:t>
      </w:r>
      <w:r w:rsidR="00043E4D">
        <w:rPr>
          <w:rFonts w:eastAsia="Times New Roman" w:cs="Calibri"/>
          <w:bCs/>
          <w:szCs w:val="24"/>
        </w:rPr>
        <w:t>.</w:t>
      </w:r>
    </w:p>
    <w:p w:rsidR="003210C0" w:rsidRDefault="003210C0" w:rsidP="00A32D5F">
      <w:pPr>
        <w:rPr>
          <w:rFonts w:eastAsia="Times New Roman" w:cs="Calibri"/>
          <w:bCs/>
          <w:szCs w:val="24"/>
        </w:rPr>
      </w:pPr>
    </w:p>
    <w:p w:rsidR="00043E4D" w:rsidRDefault="00043E4D" w:rsidP="00A32D5F">
      <w:pPr>
        <w:rPr>
          <w:rFonts w:eastAsia="Times New Roman" w:cs="Calibri"/>
          <w:bCs/>
          <w:szCs w:val="24"/>
        </w:rPr>
      </w:pPr>
      <w:r>
        <w:rPr>
          <w:rFonts w:eastAsia="Times New Roman" w:cs="Calibri"/>
          <w:bCs/>
          <w:szCs w:val="24"/>
        </w:rPr>
        <w:t xml:space="preserve">It was not reasonable to develop </w:t>
      </w:r>
      <w:r w:rsidR="00F05EB5">
        <w:rPr>
          <w:rFonts w:eastAsia="Times New Roman" w:cs="Calibri"/>
          <w:bCs/>
          <w:szCs w:val="24"/>
        </w:rPr>
        <w:t xml:space="preserve">within the cost proposal workbook </w:t>
      </w:r>
      <w:r>
        <w:rPr>
          <w:rFonts w:eastAsia="Times New Roman" w:cs="Calibri"/>
          <w:bCs/>
          <w:szCs w:val="24"/>
        </w:rPr>
        <w:t xml:space="preserve">a structure for </w:t>
      </w:r>
      <w:r w:rsidR="00F05EB5">
        <w:rPr>
          <w:rFonts w:eastAsia="Times New Roman" w:cs="Calibri"/>
          <w:bCs/>
          <w:szCs w:val="24"/>
        </w:rPr>
        <w:t>contract changes that are procured from a contractor’s internal stocks or existing information technology or physical infrastructure. To avoid uncertainty in such costs, the selected contractor is expected to provide a detailed cost justification, linking the cost proposals to similar or related costs in any existing line items.</w:t>
      </w:r>
    </w:p>
    <w:p w:rsidR="00043E4D" w:rsidRDefault="00043E4D" w:rsidP="00A32D5F">
      <w:pPr>
        <w:rPr>
          <w:rFonts w:eastAsia="Times New Roman" w:cs="Calibri"/>
          <w:bCs/>
          <w:szCs w:val="24"/>
        </w:rPr>
      </w:pPr>
    </w:p>
    <w:p w:rsidR="00043E4D" w:rsidRDefault="00043E4D" w:rsidP="00A32D5F">
      <w:pPr>
        <w:rPr>
          <w:rFonts w:eastAsia="Times New Roman" w:cs="Calibri"/>
          <w:bCs/>
          <w:szCs w:val="24"/>
        </w:rPr>
      </w:pPr>
      <w:r>
        <w:rPr>
          <w:rFonts w:eastAsia="Times New Roman" w:cs="Calibri"/>
          <w:bCs/>
          <w:szCs w:val="24"/>
        </w:rPr>
        <w:t xml:space="preserve">Bidders should work within the framework of the cost proposal to avoid problems with comparing bids across proposals, and to avoid being marked down in evaluations for </w:t>
      </w:r>
      <w:r w:rsidR="00F05EB5">
        <w:rPr>
          <w:rFonts w:eastAsia="Times New Roman" w:cs="Calibri"/>
          <w:bCs/>
          <w:szCs w:val="24"/>
        </w:rPr>
        <w:t xml:space="preserve">poor clarity </w:t>
      </w:r>
      <w:r>
        <w:rPr>
          <w:rFonts w:eastAsia="Times New Roman" w:cs="Calibri"/>
          <w:bCs/>
          <w:szCs w:val="24"/>
        </w:rPr>
        <w:t>in proposal costs.</w:t>
      </w:r>
    </w:p>
    <w:p w:rsidR="00043E4D" w:rsidRDefault="00043E4D" w:rsidP="00A32D5F">
      <w:pPr>
        <w:rPr>
          <w:rFonts w:eastAsia="Times New Roman" w:cs="Calibri"/>
          <w:bCs/>
          <w:szCs w:val="24"/>
        </w:rPr>
      </w:pPr>
    </w:p>
    <w:p w:rsidR="00533356" w:rsidRPr="006E60FE" w:rsidRDefault="00533356" w:rsidP="00533356">
      <w:pPr>
        <w:rPr>
          <w:rFonts w:asciiTheme="minorHAnsi" w:eastAsia="Times New Roman" w:hAnsiTheme="minorHAnsi" w:cstheme="minorHAnsi"/>
          <w:b/>
          <w:bCs/>
          <w:color w:val="365F91" w:themeColor="accent1" w:themeShade="BF"/>
          <w:szCs w:val="24"/>
        </w:rPr>
      </w:pPr>
      <w:r w:rsidRPr="006E60FE">
        <w:rPr>
          <w:rFonts w:asciiTheme="minorHAnsi" w:eastAsia="Times New Roman" w:hAnsiTheme="minorHAnsi" w:cstheme="minorHAnsi"/>
          <w:b/>
          <w:bCs/>
          <w:color w:val="365F91" w:themeColor="accent1" w:themeShade="BF"/>
          <w:szCs w:val="24"/>
        </w:rPr>
        <w:t>Types of Costs</w:t>
      </w:r>
      <w:r w:rsidRPr="006E60FE">
        <w:rPr>
          <w:rFonts w:asciiTheme="minorHAnsi" w:eastAsia="Times New Roman" w:hAnsiTheme="minorHAnsi" w:cstheme="minorHAnsi"/>
          <w:b/>
          <w:bCs/>
          <w:color w:val="365F91" w:themeColor="accent1" w:themeShade="BF"/>
          <w:szCs w:val="24"/>
        </w:rPr>
        <w:tab/>
      </w:r>
    </w:p>
    <w:p w:rsidR="006E60FE" w:rsidRDefault="006E60FE" w:rsidP="00533356">
      <w:pPr>
        <w:rPr>
          <w:rFonts w:eastAsia="Times New Roman" w:cs="Calibri"/>
          <w:bCs/>
          <w:szCs w:val="24"/>
        </w:rPr>
      </w:pPr>
    </w:p>
    <w:p w:rsidR="00533356" w:rsidRPr="00533356" w:rsidRDefault="00533356" w:rsidP="00533356">
      <w:pPr>
        <w:rPr>
          <w:rFonts w:eastAsia="Times New Roman" w:cs="Calibri"/>
          <w:bCs/>
          <w:szCs w:val="24"/>
        </w:rPr>
      </w:pPr>
      <w:r w:rsidRPr="00533356">
        <w:rPr>
          <w:rFonts w:eastAsia="Times New Roman" w:cs="Calibri"/>
          <w:bCs/>
          <w:szCs w:val="24"/>
        </w:rPr>
        <w:t>The cost sheet is constructed to disentangle fixed costs, variable costs, and contract change baseline costs. The rows (line items) associated with these three types of cost can be iden</w:t>
      </w:r>
      <w:r w:rsidR="006E60FE">
        <w:rPr>
          <w:rFonts w:eastAsia="Times New Roman" w:cs="Calibri"/>
          <w:bCs/>
          <w:szCs w:val="24"/>
        </w:rPr>
        <w:t>tified in the following manner:</w:t>
      </w:r>
    </w:p>
    <w:p w:rsidR="00533356" w:rsidRPr="00533356" w:rsidRDefault="00533356" w:rsidP="00533356">
      <w:pPr>
        <w:rPr>
          <w:rFonts w:eastAsia="Times New Roman" w:cs="Calibri"/>
          <w:bCs/>
          <w:szCs w:val="24"/>
        </w:rPr>
      </w:pPr>
    </w:p>
    <w:p w:rsidR="00533356" w:rsidRPr="006E60FE" w:rsidRDefault="00533356" w:rsidP="006E60FE">
      <w:pPr>
        <w:pStyle w:val="ListParagraph"/>
        <w:numPr>
          <w:ilvl w:val="0"/>
          <w:numId w:val="2"/>
        </w:numPr>
        <w:rPr>
          <w:rFonts w:eastAsia="Times New Roman" w:cs="Calibri"/>
          <w:bCs/>
          <w:szCs w:val="24"/>
        </w:rPr>
      </w:pPr>
      <w:r w:rsidRPr="006E60FE">
        <w:rPr>
          <w:rFonts w:eastAsia="Times New Roman" w:cs="Calibri"/>
          <w:bCs/>
          <w:szCs w:val="24"/>
        </w:rPr>
        <w:lastRenderedPageBreak/>
        <w:t xml:space="preserve">Fixed costs are represented on the </w:t>
      </w:r>
      <w:r w:rsidR="006E60FE">
        <w:rPr>
          <w:rFonts w:eastAsia="Times New Roman" w:cs="Calibri"/>
          <w:bCs/>
          <w:szCs w:val="24"/>
        </w:rPr>
        <w:t>“</w:t>
      </w:r>
      <w:r w:rsidRPr="006E60FE">
        <w:rPr>
          <w:rFonts w:eastAsia="Times New Roman" w:cs="Calibri"/>
          <w:bCs/>
          <w:szCs w:val="24"/>
        </w:rPr>
        <w:t>Standard Pricing</w:t>
      </w:r>
      <w:r w:rsidR="006E60FE">
        <w:rPr>
          <w:rFonts w:eastAsia="Times New Roman" w:cs="Calibri"/>
          <w:bCs/>
          <w:szCs w:val="24"/>
        </w:rPr>
        <w:t>”</w:t>
      </w:r>
      <w:r w:rsidRPr="006E60FE">
        <w:rPr>
          <w:rFonts w:eastAsia="Times New Roman" w:cs="Calibri"/>
          <w:bCs/>
          <w:szCs w:val="24"/>
        </w:rPr>
        <w:t xml:space="preserve"> worksheet with a unit type of </w:t>
      </w:r>
      <w:r w:rsidR="006E60FE">
        <w:rPr>
          <w:rFonts w:eastAsia="Times New Roman" w:cs="Calibri"/>
          <w:bCs/>
          <w:szCs w:val="24"/>
        </w:rPr>
        <w:t>“</w:t>
      </w:r>
      <w:r w:rsidRPr="006E60FE">
        <w:rPr>
          <w:rFonts w:eastAsia="Times New Roman" w:cs="Calibri"/>
          <w:bCs/>
          <w:szCs w:val="24"/>
        </w:rPr>
        <w:t>contract</w:t>
      </w:r>
      <w:r w:rsidR="006E60FE">
        <w:rPr>
          <w:rFonts w:eastAsia="Times New Roman" w:cs="Calibri"/>
          <w:bCs/>
          <w:szCs w:val="24"/>
        </w:rPr>
        <w:t>”</w:t>
      </w:r>
      <w:r w:rsidRPr="006E60FE">
        <w:rPr>
          <w:rFonts w:eastAsia="Times New Roman" w:cs="Calibri"/>
          <w:bCs/>
          <w:szCs w:val="24"/>
        </w:rPr>
        <w:t xml:space="preserve"> or </w:t>
      </w:r>
      <w:r w:rsidR="006E60FE">
        <w:rPr>
          <w:rFonts w:eastAsia="Times New Roman" w:cs="Calibri"/>
          <w:bCs/>
          <w:szCs w:val="24"/>
        </w:rPr>
        <w:t>“</w:t>
      </w:r>
      <w:r w:rsidRPr="006E60FE">
        <w:rPr>
          <w:rFonts w:eastAsia="Times New Roman" w:cs="Calibri"/>
          <w:bCs/>
          <w:szCs w:val="24"/>
        </w:rPr>
        <w:t>year</w:t>
      </w:r>
      <w:r w:rsidR="006E60FE">
        <w:rPr>
          <w:rFonts w:eastAsia="Times New Roman" w:cs="Calibri"/>
          <w:bCs/>
          <w:szCs w:val="24"/>
        </w:rPr>
        <w:t>”</w:t>
      </w:r>
      <w:r w:rsidRPr="006E60FE">
        <w:rPr>
          <w:rFonts w:eastAsia="Times New Roman" w:cs="Calibri"/>
          <w:bCs/>
          <w:szCs w:val="24"/>
        </w:rPr>
        <w:t xml:space="preserve"> and an estimated annual unit volume of 1.</w:t>
      </w:r>
    </w:p>
    <w:p w:rsidR="00533356" w:rsidRPr="006E60FE" w:rsidRDefault="006E60FE" w:rsidP="006E60FE">
      <w:pPr>
        <w:pStyle w:val="ListParagraph"/>
        <w:numPr>
          <w:ilvl w:val="0"/>
          <w:numId w:val="2"/>
        </w:numPr>
        <w:rPr>
          <w:rFonts w:eastAsia="Times New Roman" w:cs="Calibri"/>
          <w:bCs/>
          <w:szCs w:val="24"/>
        </w:rPr>
      </w:pPr>
      <w:r>
        <w:rPr>
          <w:rFonts w:eastAsia="Times New Roman" w:cs="Calibri"/>
          <w:bCs/>
          <w:szCs w:val="24"/>
        </w:rPr>
        <w:t>All other costs on the “Standard Pricing”</w:t>
      </w:r>
      <w:r w:rsidR="00533356" w:rsidRPr="006E60FE">
        <w:rPr>
          <w:rFonts w:eastAsia="Times New Roman" w:cs="Calibri"/>
          <w:bCs/>
          <w:szCs w:val="24"/>
        </w:rPr>
        <w:t xml:space="preserve"> worksheet represent variable (volume-based) costs.</w:t>
      </w:r>
    </w:p>
    <w:p w:rsidR="00533356" w:rsidRPr="006E60FE" w:rsidRDefault="00533356" w:rsidP="006E60FE">
      <w:pPr>
        <w:pStyle w:val="ListParagraph"/>
        <w:numPr>
          <w:ilvl w:val="0"/>
          <w:numId w:val="2"/>
        </w:numPr>
        <w:rPr>
          <w:rFonts w:eastAsia="Times New Roman" w:cs="Calibri"/>
          <w:bCs/>
          <w:szCs w:val="24"/>
        </w:rPr>
      </w:pPr>
      <w:r w:rsidRPr="006E60FE">
        <w:rPr>
          <w:rFonts w:eastAsia="Times New Roman" w:cs="Calibri"/>
          <w:bCs/>
          <w:szCs w:val="24"/>
        </w:rPr>
        <w:t>Baselines for contract change costs are listed on the "Contract Change Pricing" worksheet. Contract change pricing gives a reasonable baseline for overhead rate for materials and externally procured services as well as a reasonable baseline for daily rates for labor performed by different classes of bidder internal staff.</w:t>
      </w:r>
    </w:p>
    <w:p w:rsidR="00533356" w:rsidRPr="00533356" w:rsidRDefault="00533356" w:rsidP="00533356">
      <w:pPr>
        <w:rPr>
          <w:rFonts w:eastAsia="Times New Roman" w:cs="Calibri"/>
          <w:bCs/>
          <w:szCs w:val="24"/>
        </w:rPr>
      </w:pPr>
    </w:p>
    <w:p w:rsidR="00533356" w:rsidRPr="00533356" w:rsidRDefault="006E60FE" w:rsidP="00533356">
      <w:pPr>
        <w:rPr>
          <w:rFonts w:eastAsia="Times New Roman" w:cs="Calibri"/>
          <w:bCs/>
          <w:szCs w:val="24"/>
        </w:rPr>
      </w:pPr>
      <w:r>
        <w:rPr>
          <w:rFonts w:eastAsia="Times New Roman" w:cs="Calibri"/>
          <w:bCs/>
          <w:szCs w:val="24"/>
        </w:rPr>
        <w:t xml:space="preserve">The variable (volume-based) costs can also be developed with a sliding scale (e.g., lower cost per unit for greater volume). In this case, multiple options should be bid representing the different </w:t>
      </w:r>
      <w:r w:rsidR="00AF68E1">
        <w:rPr>
          <w:rFonts w:eastAsia="Times New Roman" w:cs="Calibri"/>
          <w:bCs/>
          <w:szCs w:val="24"/>
        </w:rPr>
        <w:t>unit costs</w:t>
      </w:r>
      <w:r>
        <w:rPr>
          <w:rFonts w:eastAsia="Times New Roman" w:cs="Calibri"/>
          <w:bCs/>
          <w:szCs w:val="24"/>
        </w:rPr>
        <w:t>.</w:t>
      </w:r>
    </w:p>
    <w:p w:rsidR="00533356" w:rsidRPr="00533356" w:rsidRDefault="00533356" w:rsidP="00533356">
      <w:pPr>
        <w:rPr>
          <w:rFonts w:eastAsia="Times New Roman" w:cs="Calibri"/>
          <w:bCs/>
          <w:szCs w:val="24"/>
        </w:rPr>
      </w:pPr>
    </w:p>
    <w:p w:rsidR="00533356" w:rsidRPr="00AF68E1" w:rsidRDefault="00AF68E1" w:rsidP="00533356">
      <w:pPr>
        <w:rPr>
          <w:rFonts w:asciiTheme="minorHAnsi" w:eastAsia="Times New Roman" w:hAnsiTheme="minorHAnsi" w:cstheme="minorHAnsi"/>
          <w:b/>
          <w:bCs/>
          <w:color w:val="365F91" w:themeColor="accent1" w:themeShade="BF"/>
          <w:szCs w:val="24"/>
        </w:rPr>
      </w:pPr>
      <w:r w:rsidRPr="00AF68E1">
        <w:rPr>
          <w:rFonts w:asciiTheme="minorHAnsi" w:eastAsia="Times New Roman" w:hAnsiTheme="minorHAnsi" w:cstheme="minorHAnsi"/>
          <w:b/>
          <w:bCs/>
          <w:color w:val="365F91" w:themeColor="accent1" w:themeShade="BF"/>
          <w:szCs w:val="24"/>
        </w:rPr>
        <w:t>Years</w:t>
      </w:r>
    </w:p>
    <w:p w:rsidR="00AF68E1" w:rsidRDefault="00AF68E1" w:rsidP="00533356">
      <w:pPr>
        <w:rPr>
          <w:rFonts w:eastAsia="Times New Roman" w:cs="Calibri"/>
          <w:bCs/>
          <w:szCs w:val="24"/>
        </w:rPr>
      </w:pPr>
    </w:p>
    <w:p w:rsidR="00533356" w:rsidRPr="00533356" w:rsidRDefault="00533356" w:rsidP="00533356">
      <w:pPr>
        <w:rPr>
          <w:rFonts w:eastAsia="Times New Roman" w:cs="Calibri"/>
          <w:bCs/>
          <w:szCs w:val="24"/>
        </w:rPr>
      </w:pPr>
      <w:r w:rsidRPr="00533356">
        <w:rPr>
          <w:rFonts w:eastAsia="Times New Roman" w:cs="Calibri"/>
          <w:bCs/>
          <w:szCs w:val="24"/>
        </w:rPr>
        <w:t>Bidders must provide costs for each year of the contract, with two classes of years</w:t>
      </w:r>
      <w:r w:rsidRPr="00533356">
        <w:rPr>
          <w:rFonts w:eastAsia="Times New Roman" w:cs="Calibri"/>
          <w:bCs/>
          <w:szCs w:val="24"/>
        </w:rPr>
        <w:tab/>
      </w:r>
    </w:p>
    <w:p w:rsidR="00533356" w:rsidRPr="00533356" w:rsidRDefault="00533356" w:rsidP="00533356">
      <w:pPr>
        <w:rPr>
          <w:rFonts w:eastAsia="Times New Roman" w:cs="Calibri"/>
          <w:bCs/>
          <w:szCs w:val="24"/>
        </w:rPr>
      </w:pPr>
    </w:p>
    <w:p w:rsidR="00533356" w:rsidRPr="00AF68E1" w:rsidRDefault="00533356" w:rsidP="00AF68E1">
      <w:pPr>
        <w:pStyle w:val="ListParagraph"/>
        <w:numPr>
          <w:ilvl w:val="0"/>
          <w:numId w:val="2"/>
        </w:numPr>
        <w:rPr>
          <w:rFonts w:eastAsia="Times New Roman" w:cs="Calibri"/>
          <w:bCs/>
          <w:szCs w:val="24"/>
        </w:rPr>
      </w:pPr>
      <w:r w:rsidRPr="00AF68E1">
        <w:rPr>
          <w:rFonts w:eastAsia="Times New Roman" w:cs="Calibri"/>
          <w:bCs/>
          <w:szCs w:val="24"/>
        </w:rPr>
        <w:t xml:space="preserve">Awarded phases (years 1 - </w:t>
      </w:r>
      <w:r w:rsidR="00AF68E1" w:rsidRPr="00AF68E1">
        <w:rPr>
          <w:rFonts w:eastAsia="Times New Roman" w:cs="Calibri"/>
          <w:bCs/>
          <w:szCs w:val="24"/>
          <w:highlight w:val="yellow"/>
        </w:rPr>
        <w:t>&lt;</w:t>
      </w:r>
      <w:r w:rsidRPr="00AF68E1">
        <w:rPr>
          <w:rFonts w:eastAsia="Times New Roman" w:cs="Calibri"/>
          <w:bCs/>
          <w:szCs w:val="24"/>
          <w:highlight w:val="yellow"/>
        </w:rPr>
        <w:t>5</w:t>
      </w:r>
      <w:r w:rsidR="00AF68E1" w:rsidRPr="00AF68E1">
        <w:rPr>
          <w:rFonts w:eastAsia="Times New Roman" w:cs="Calibri"/>
          <w:bCs/>
          <w:szCs w:val="24"/>
          <w:highlight w:val="yellow"/>
        </w:rPr>
        <w:t>&gt;</w:t>
      </w:r>
      <w:r w:rsidRPr="00AF68E1">
        <w:rPr>
          <w:rFonts w:eastAsia="Times New Roman" w:cs="Calibri"/>
          <w:bCs/>
          <w:szCs w:val="24"/>
        </w:rPr>
        <w:t>) indicate the years that will be awarded when services are procured. Prices bid for these years remain static throughout the term of the contract. Note that prices for the various years may vary for multiple reasons that will feed into overall cost-effectiveness for the state. For example, a contractor may wish to embed inflation projections into later years of the contract, or may wish to reduce costs in later years because baseline tasks have been performed in early years (requiring only minor improvements in later years).</w:t>
      </w:r>
    </w:p>
    <w:p w:rsidR="00533356" w:rsidRPr="00AF68E1" w:rsidRDefault="00533356" w:rsidP="00AF68E1">
      <w:pPr>
        <w:pStyle w:val="ListParagraph"/>
        <w:numPr>
          <w:ilvl w:val="0"/>
          <w:numId w:val="2"/>
        </w:numPr>
        <w:rPr>
          <w:rFonts w:eastAsia="Times New Roman" w:cs="Calibri"/>
          <w:bCs/>
          <w:szCs w:val="24"/>
        </w:rPr>
      </w:pPr>
      <w:r w:rsidRPr="00AF68E1">
        <w:rPr>
          <w:rFonts w:eastAsia="Times New Roman" w:cs="Calibri"/>
          <w:bCs/>
          <w:szCs w:val="24"/>
        </w:rPr>
        <w:t xml:space="preserve">Optional phases (years </w:t>
      </w:r>
      <w:r w:rsidR="00AF68E1" w:rsidRPr="00AF68E1">
        <w:rPr>
          <w:rFonts w:eastAsia="Times New Roman" w:cs="Calibri"/>
          <w:bCs/>
          <w:szCs w:val="24"/>
          <w:highlight w:val="yellow"/>
        </w:rPr>
        <w:t>&lt;</w:t>
      </w:r>
      <w:r w:rsidRPr="00AF68E1">
        <w:rPr>
          <w:rFonts w:eastAsia="Times New Roman" w:cs="Calibri"/>
          <w:bCs/>
          <w:szCs w:val="24"/>
          <w:highlight w:val="yellow"/>
        </w:rPr>
        <w:t>6</w:t>
      </w:r>
      <w:r w:rsidR="00AF68E1" w:rsidRPr="00AF68E1">
        <w:rPr>
          <w:rFonts w:eastAsia="Times New Roman" w:cs="Calibri"/>
          <w:bCs/>
          <w:szCs w:val="24"/>
          <w:highlight w:val="yellow"/>
        </w:rPr>
        <w:t>&gt;</w:t>
      </w:r>
      <w:r w:rsidRPr="00AF68E1">
        <w:rPr>
          <w:rFonts w:eastAsia="Times New Roman" w:cs="Calibri"/>
          <w:bCs/>
          <w:szCs w:val="24"/>
        </w:rPr>
        <w:t xml:space="preserve"> - </w:t>
      </w:r>
      <w:r w:rsidR="00AF68E1" w:rsidRPr="00AF68E1">
        <w:rPr>
          <w:rFonts w:eastAsia="Times New Roman" w:cs="Calibri"/>
          <w:bCs/>
          <w:szCs w:val="24"/>
          <w:highlight w:val="yellow"/>
        </w:rPr>
        <w:t>&lt;</w:t>
      </w:r>
      <w:r w:rsidRPr="00AF68E1">
        <w:rPr>
          <w:rFonts w:eastAsia="Times New Roman" w:cs="Calibri"/>
          <w:bCs/>
          <w:szCs w:val="24"/>
          <w:highlight w:val="yellow"/>
        </w:rPr>
        <w:t>9</w:t>
      </w:r>
      <w:r w:rsidR="00AF68E1" w:rsidRPr="00AF68E1">
        <w:rPr>
          <w:rFonts w:eastAsia="Times New Roman" w:cs="Calibri"/>
          <w:bCs/>
          <w:szCs w:val="24"/>
          <w:highlight w:val="yellow"/>
        </w:rPr>
        <w:t>&gt;</w:t>
      </w:r>
      <w:r w:rsidRPr="00AF68E1">
        <w:rPr>
          <w:rFonts w:eastAsia="Times New Roman" w:cs="Calibri"/>
          <w:bCs/>
          <w:szCs w:val="24"/>
        </w:rPr>
        <w:t>) indicate extension years that may be awarded at state option. Prices bid for these years represent the maximum costs that would be charged for contract extension. Because costs this far out may be relatively uncertain, these will be negotiated upon contract extension, but are not to exceed the prices bid for these years.</w:t>
      </w:r>
    </w:p>
    <w:p w:rsidR="00533356" w:rsidRPr="00533356" w:rsidRDefault="00533356" w:rsidP="00533356">
      <w:pPr>
        <w:rPr>
          <w:rFonts w:eastAsia="Times New Roman" w:cs="Calibri"/>
          <w:bCs/>
          <w:szCs w:val="24"/>
        </w:rPr>
      </w:pPr>
    </w:p>
    <w:p w:rsidR="00533356" w:rsidRPr="00AF68E1" w:rsidRDefault="00533356" w:rsidP="00533356">
      <w:pPr>
        <w:rPr>
          <w:rFonts w:asciiTheme="minorHAnsi" w:eastAsia="Times New Roman" w:hAnsiTheme="minorHAnsi" w:cstheme="minorHAnsi"/>
          <w:b/>
          <w:bCs/>
          <w:color w:val="365F91" w:themeColor="accent1" w:themeShade="BF"/>
          <w:szCs w:val="24"/>
        </w:rPr>
      </w:pPr>
      <w:r w:rsidRPr="00AF68E1">
        <w:rPr>
          <w:rFonts w:asciiTheme="minorHAnsi" w:eastAsia="Times New Roman" w:hAnsiTheme="minorHAnsi" w:cstheme="minorHAnsi"/>
          <w:b/>
          <w:bCs/>
          <w:color w:val="365F91" w:themeColor="accent1" w:themeShade="BF"/>
          <w:szCs w:val="24"/>
        </w:rPr>
        <w:t>Addressing Value-Added Components and Alternative Optio</w:t>
      </w:r>
      <w:r w:rsidR="00AF68E1" w:rsidRPr="00AF68E1">
        <w:rPr>
          <w:rFonts w:asciiTheme="minorHAnsi" w:eastAsia="Times New Roman" w:hAnsiTheme="minorHAnsi" w:cstheme="minorHAnsi"/>
          <w:b/>
          <w:bCs/>
          <w:color w:val="365F91" w:themeColor="accent1" w:themeShade="BF"/>
          <w:szCs w:val="24"/>
        </w:rPr>
        <w:t>ns</w:t>
      </w:r>
    </w:p>
    <w:p w:rsidR="00AF68E1" w:rsidRDefault="00AF68E1" w:rsidP="00533356">
      <w:pPr>
        <w:rPr>
          <w:rFonts w:eastAsia="Times New Roman" w:cs="Calibri"/>
          <w:bCs/>
          <w:szCs w:val="24"/>
        </w:rPr>
      </w:pPr>
    </w:p>
    <w:p w:rsidR="00533356" w:rsidRPr="00533356" w:rsidRDefault="00533356" w:rsidP="00533356">
      <w:pPr>
        <w:rPr>
          <w:rFonts w:eastAsia="Times New Roman" w:cs="Calibri"/>
          <w:bCs/>
          <w:szCs w:val="24"/>
        </w:rPr>
      </w:pPr>
      <w:r w:rsidRPr="00533356">
        <w:rPr>
          <w:rFonts w:eastAsia="Times New Roman" w:cs="Calibri"/>
          <w:bCs/>
          <w:szCs w:val="24"/>
        </w:rPr>
        <w:t>Value-added components are components bid by the vendor that clearly go beyond the RFP requirements and may distinguish one bidder from another. Value-added options will not be considered in qualifying a vendor, but can be used in comparing qualifying vendors against each other. When bidding val</w:t>
      </w:r>
      <w:r w:rsidR="00AF68E1">
        <w:rPr>
          <w:rFonts w:eastAsia="Times New Roman" w:cs="Calibri"/>
          <w:bCs/>
          <w:szCs w:val="24"/>
        </w:rPr>
        <w:t>ue-added options, bidders must:</w:t>
      </w:r>
    </w:p>
    <w:p w:rsidR="00533356" w:rsidRPr="00533356" w:rsidRDefault="00533356" w:rsidP="00533356">
      <w:pPr>
        <w:rPr>
          <w:rFonts w:eastAsia="Times New Roman" w:cs="Calibri"/>
          <w:bCs/>
          <w:szCs w:val="24"/>
        </w:rPr>
      </w:pPr>
    </w:p>
    <w:p w:rsidR="00533356" w:rsidRPr="00AF68E1" w:rsidRDefault="00533356" w:rsidP="00AF68E1">
      <w:pPr>
        <w:pStyle w:val="ListParagraph"/>
        <w:numPr>
          <w:ilvl w:val="0"/>
          <w:numId w:val="2"/>
        </w:numPr>
        <w:rPr>
          <w:rFonts w:eastAsia="Times New Roman" w:cs="Calibri"/>
          <w:bCs/>
          <w:szCs w:val="24"/>
        </w:rPr>
      </w:pPr>
      <w:r w:rsidRPr="00AF68E1">
        <w:rPr>
          <w:rFonts w:eastAsia="Times New Roman" w:cs="Calibri"/>
          <w:bCs/>
          <w:szCs w:val="24"/>
        </w:rPr>
        <w:t>Create a line item that does not include the value-added component (i.e., that do not clearly go beyond the RFP requirements)</w:t>
      </w:r>
    </w:p>
    <w:p w:rsidR="00533356" w:rsidRPr="00AF68E1" w:rsidRDefault="00533356" w:rsidP="00AF68E1">
      <w:pPr>
        <w:pStyle w:val="ListParagraph"/>
        <w:numPr>
          <w:ilvl w:val="0"/>
          <w:numId w:val="2"/>
        </w:numPr>
        <w:rPr>
          <w:rFonts w:eastAsia="Times New Roman" w:cs="Calibri"/>
          <w:bCs/>
          <w:szCs w:val="24"/>
        </w:rPr>
      </w:pPr>
      <w:r w:rsidRPr="00AF68E1">
        <w:rPr>
          <w:rFonts w:eastAsia="Times New Roman" w:cs="Calibri"/>
          <w:bCs/>
          <w:szCs w:val="24"/>
        </w:rPr>
        <w:t>Create another line item (below the original) for the value-added option and mark the "value added" column with an "x"</w:t>
      </w:r>
    </w:p>
    <w:p w:rsidR="00533356" w:rsidRPr="00533356" w:rsidRDefault="00533356" w:rsidP="00533356">
      <w:pPr>
        <w:rPr>
          <w:rFonts w:eastAsia="Times New Roman" w:cs="Calibri"/>
          <w:bCs/>
          <w:szCs w:val="24"/>
        </w:rPr>
      </w:pPr>
    </w:p>
    <w:p w:rsidR="00533356" w:rsidRPr="00533356" w:rsidRDefault="00533356" w:rsidP="00533356">
      <w:pPr>
        <w:rPr>
          <w:rFonts w:eastAsia="Times New Roman" w:cs="Calibri"/>
          <w:bCs/>
          <w:szCs w:val="24"/>
        </w:rPr>
      </w:pPr>
      <w:r w:rsidRPr="00533356">
        <w:rPr>
          <w:rFonts w:eastAsia="Times New Roman" w:cs="Calibri"/>
          <w:bCs/>
          <w:szCs w:val="24"/>
        </w:rPr>
        <w:t xml:space="preserve">Alternative options are components bid by the vendor that indicate different pricing models for the </w:t>
      </w:r>
      <w:proofErr w:type="gramStart"/>
      <w:r w:rsidRPr="00533356">
        <w:rPr>
          <w:rFonts w:eastAsia="Times New Roman" w:cs="Calibri"/>
          <w:bCs/>
          <w:szCs w:val="24"/>
        </w:rPr>
        <w:t>same</w:t>
      </w:r>
      <w:proofErr w:type="gramEnd"/>
      <w:r w:rsidRPr="00533356">
        <w:rPr>
          <w:rFonts w:eastAsia="Times New Roman" w:cs="Calibri"/>
          <w:bCs/>
          <w:szCs w:val="24"/>
        </w:rPr>
        <w:t xml:space="preserve"> services (e.g., different prices for different magnitudes of volume, alternative methods for satisfying the requirements of the RFP). When bidding alternative options, bidders must:</w:t>
      </w:r>
      <w:r w:rsidRPr="00533356">
        <w:rPr>
          <w:rFonts w:eastAsia="Times New Roman" w:cs="Calibri"/>
          <w:bCs/>
          <w:szCs w:val="24"/>
        </w:rPr>
        <w:tab/>
      </w:r>
    </w:p>
    <w:p w:rsidR="00533356" w:rsidRPr="00533356" w:rsidRDefault="00533356" w:rsidP="00533356">
      <w:pPr>
        <w:rPr>
          <w:rFonts w:eastAsia="Times New Roman" w:cs="Calibri"/>
          <w:bCs/>
          <w:szCs w:val="24"/>
        </w:rPr>
      </w:pPr>
    </w:p>
    <w:p w:rsidR="00533356" w:rsidRPr="00AF68E1" w:rsidRDefault="00533356" w:rsidP="00AF68E1">
      <w:pPr>
        <w:pStyle w:val="ListParagraph"/>
        <w:numPr>
          <w:ilvl w:val="0"/>
          <w:numId w:val="2"/>
        </w:numPr>
        <w:rPr>
          <w:rFonts w:eastAsia="Times New Roman" w:cs="Calibri"/>
          <w:bCs/>
          <w:szCs w:val="24"/>
        </w:rPr>
      </w:pPr>
      <w:r w:rsidRPr="00AF68E1">
        <w:rPr>
          <w:rFonts w:eastAsia="Times New Roman" w:cs="Calibri"/>
          <w:bCs/>
          <w:szCs w:val="24"/>
        </w:rPr>
        <w:t>Create multiple line items for the same service (e.g., representing costing for different magnitude of volume or different methods)</w:t>
      </w:r>
    </w:p>
    <w:p w:rsidR="00533356" w:rsidRPr="00AF68E1" w:rsidRDefault="00533356" w:rsidP="00AF68E1">
      <w:pPr>
        <w:pStyle w:val="ListParagraph"/>
        <w:numPr>
          <w:ilvl w:val="0"/>
          <w:numId w:val="2"/>
        </w:numPr>
        <w:rPr>
          <w:rFonts w:eastAsia="Times New Roman" w:cs="Calibri"/>
          <w:bCs/>
          <w:szCs w:val="24"/>
        </w:rPr>
      </w:pPr>
      <w:r w:rsidRPr="00AF68E1">
        <w:rPr>
          <w:rFonts w:eastAsia="Times New Roman" w:cs="Calibri"/>
          <w:bCs/>
          <w:szCs w:val="24"/>
        </w:rPr>
        <w:lastRenderedPageBreak/>
        <w:t>Leave the default pricing option blank in the "alternative option" column and mark all others with an "x"</w:t>
      </w:r>
    </w:p>
    <w:p w:rsidR="00533356" w:rsidRDefault="00533356" w:rsidP="00A32D5F">
      <w:pPr>
        <w:rPr>
          <w:rFonts w:eastAsia="Times New Roman" w:cs="Calibri"/>
          <w:bCs/>
          <w:szCs w:val="24"/>
        </w:rPr>
      </w:pPr>
    </w:p>
    <w:p w:rsidR="003210C0" w:rsidRPr="00043E4D" w:rsidRDefault="003210C0" w:rsidP="003210C0">
      <w:pPr>
        <w:rPr>
          <w:rFonts w:asciiTheme="minorHAnsi" w:eastAsia="Times New Roman" w:hAnsiTheme="minorHAnsi" w:cstheme="minorHAnsi"/>
          <w:b/>
          <w:bCs/>
          <w:szCs w:val="24"/>
        </w:rPr>
      </w:pPr>
      <w:r w:rsidRPr="00043E4D">
        <w:rPr>
          <w:rFonts w:asciiTheme="minorHAnsi" w:eastAsia="Times New Roman" w:hAnsiTheme="minorHAnsi" w:cstheme="minorHAnsi"/>
          <w:b/>
          <w:bCs/>
          <w:color w:val="365F91" w:themeColor="accent1" w:themeShade="BF"/>
          <w:szCs w:val="24"/>
        </w:rPr>
        <w:t>Color Coding</w:t>
      </w:r>
    </w:p>
    <w:p w:rsidR="00043E4D" w:rsidRDefault="00043E4D" w:rsidP="003210C0">
      <w:pPr>
        <w:rPr>
          <w:rFonts w:eastAsia="Times New Roman" w:cs="Calibri"/>
          <w:bCs/>
          <w:szCs w:val="24"/>
        </w:rPr>
      </w:pPr>
    </w:p>
    <w:p w:rsidR="003210C0" w:rsidRDefault="003210C0" w:rsidP="003210C0">
      <w:pPr>
        <w:rPr>
          <w:rFonts w:eastAsia="Times New Roman" w:cs="Calibri"/>
          <w:bCs/>
          <w:szCs w:val="24"/>
        </w:rPr>
      </w:pPr>
      <w:r w:rsidRPr="003210C0">
        <w:rPr>
          <w:rFonts w:eastAsia="Times New Roman" w:cs="Calibri"/>
          <w:bCs/>
          <w:szCs w:val="24"/>
        </w:rPr>
        <w:t>Cells in both pricing workshe</w:t>
      </w:r>
      <w:r w:rsidR="00F05EB5">
        <w:rPr>
          <w:rFonts w:eastAsia="Times New Roman" w:cs="Calibri"/>
          <w:bCs/>
          <w:szCs w:val="24"/>
        </w:rPr>
        <w:t xml:space="preserve">ets </w:t>
      </w:r>
      <w:r w:rsidR="00AE4095">
        <w:rPr>
          <w:rFonts w:eastAsia="Times New Roman" w:cs="Calibri"/>
          <w:bCs/>
          <w:szCs w:val="24"/>
        </w:rPr>
        <w:t xml:space="preserve">(standard pricing and contract change pricing) </w:t>
      </w:r>
      <w:r w:rsidR="00F05EB5">
        <w:rPr>
          <w:rFonts w:eastAsia="Times New Roman" w:cs="Calibri"/>
          <w:bCs/>
          <w:szCs w:val="24"/>
        </w:rPr>
        <w:t>are color coded as follows:</w:t>
      </w:r>
    </w:p>
    <w:p w:rsidR="00F05EB5" w:rsidRDefault="00F05EB5" w:rsidP="003210C0">
      <w:pPr>
        <w:rPr>
          <w:rFonts w:eastAsia="Times New Roman" w:cs="Calibri"/>
          <w:bCs/>
          <w:szCs w:val="24"/>
        </w:rPr>
      </w:pPr>
    </w:p>
    <w:tbl>
      <w:tblPr>
        <w:tblStyle w:val="TableGrid"/>
        <w:tblW w:w="5000" w:type="pct"/>
        <w:tblBorders>
          <w:top w:val="single" w:sz="4" w:space="0" w:color="365F91" w:themeColor="accent1" w:themeShade="BF"/>
          <w:left w:val="single" w:sz="4" w:space="0" w:color="365F91" w:themeColor="accent1" w:themeShade="BF"/>
          <w:bottom w:val="single" w:sz="4" w:space="0" w:color="365F91" w:themeColor="accent1" w:themeShade="BF"/>
          <w:right w:val="single" w:sz="4" w:space="0" w:color="365F91" w:themeColor="accent1" w:themeShade="BF"/>
          <w:insideH w:val="single" w:sz="4" w:space="0" w:color="365F91" w:themeColor="accent1" w:themeShade="BF"/>
          <w:insideV w:val="single" w:sz="4" w:space="0" w:color="365F91" w:themeColor="accent1" w:themeShade="BF"/>
        </w:tblBorders>
        <w:tblLook w:val="04A0" w:firstRow="1" w:lastRow="0" w:firstColumn="1" w:lastColumn="0" w:noHBand="0" w:noVBand="1"/>
      </w:tblPr>
      <w:tblGrid>
        <w:gridCol w:w="923"/>
        <w:gridCol w:w="8653"/>
      </w:tblGrid>
      <w:tr w:rsidR="00AE4095" w:rsidRPr="00AE4095" w:rsidTr="00AE4095">
        <w:tc>
          <w:tcPr>
            <w:tcW w:w="482" w:type="pct"/>
            <w:shd w:val="clear" w:color="auto" w:fill="FFFFFF" w:themeFill="background1"/>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White</w:t>
            </w:r>
          </w:p>
        </w:tc>
        <w:tc>
          <w:tcPr>
            <w:tcW w:w="4518" w:type="pct"/>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To be completed by the bidder</w:t>
            </w:r>
          </w:p>
        </w:tc>
      </w:tr>
      <w:tr w:rsidR="00AE4095" w:rsidRPr="00AE4095" w:rsidTr="00AE4095">
        <w:tc>
          <w:tcPr>
            <w:tcW w:w="482" w:type="pct"/>
            <w:shd w:val="clear" w:color="auto" w:fill="DBE5F1" w:themeFill="accent1" w:themeFillTint="33"/>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Blue</w:t>
            </w:r>
          </w:p>
        </w:tc>
        <w:tc>
          <w:tcPr>
            <w:tcW w:w="4518" w:type="pct"/>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To be left unchanged</w:t>
            </w:r>
          </w:p>
        </w:tc>
      </w:tr>
      <w:tr w:rsidR="00AE4095" w:rsidRPr="00AE4095" w:rsidTr="00AE4095">
        <w:tc>
          <w:tcPr>
            <w:tcW w:w="482" w:type="pct"/>
            <w:shd w:val="clear" w:color="auto" w:fill="FDE9D9" w:themeFill="accent6" w:themeFillTint="33"/>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Peach</w:t>
            </w:r>
          </w:p>
        </w:tc>
        <w:tc>
          <w:tcPr>
            <w:tcW w:w="4518" w:type="pct"/>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Default values provided by the state</w:t>
            </w:r>
          </w:p>
        </w:tc>
      </w:tr>
      <w:tr w:rsidR="00AE4095" w:rsidRPr="00AE4095" w:rsidTr="00AE4095">
        <w:tc>
          <w:tcPr>
            <w:tcW w:w="482" w:type="pct"/>
            <w:shd w:val="clear" w:color="auto" w:fill="F2DBDB" w:themeFill="accent2" w:themeFillTint="33"/>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Pink</w:t>
            </w:r>
          </w:p>
        </w:tc>
        <w:tc>
          <w:tcPr>
            <w:tcW w:w="4518" w:type="pct"/>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Formulas performing the following calculation: annual cost = unit price • volume</w:t>
            </w:r>
          </w:p>
        </w:tc>
      </w:tr>
      <w:tr w:rsidR="00AE4095" w:rsidRPr="00AE4095" w:rsidTr="00AE4095">
        <w:tc>
          <w:tcPr>
            <w:tcW w:w="482" w:type="pct"/>
            <w:shd w:val="clear" w:color="auto" w:fill="FFFF00"/>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Yellow</w:t>
            </w:r>
          </w:p>
        </w:tc>
        <w:tc>
          <w:tcPr>
            <w:tcW w:w="4518" w:type="pct"/>
          </w:tcPr>
          <w:p w:rsidR="00F05EB5" w:rsidRPr="00AE4095" w:rsidRDefault="00AE4095" w:rsidP="003210C0">
            <w:pPr>
              <w:rPr>
                <w:rFonts w:asciiTheme="minorHAnsi" w:eastAsia="Times New Roman" w:hAnsiTheme="minorHAnsi" w:cstheme="minorHAnsi"/>
                <w:bCs/>
                <w:color w:val="365F91" w:themeColor="accent1" w:themeShade="BF"/>
                <w:szCs w:val="24"/>
              </w:rPr>
            </w:pPr>
            <w:r w:rsidRPr="00AE4095">
              <w:rPr>
                <w:rFonts w:asciiTheme="minorHAnsi" w:eastAsia="Times New Roman" w:hAnsiTheme="minorHAnsi" w:cstheme="minorHAnsi"/>
                <w:bCs/>
                <w:color w:val="365F91" w:themeColor="accent1" w:themeShade="BF"/>
                <w:szCs w:val="24"/>
              </w:rPr>
              <w:t>Indicates where additional rows may be appropriate to add.</w:t>
            </w:r>
          </w:p>
        </w:tc>
      </w:tr>
    </w:tbl>
    <w:p w:rsidR="00F05EB5" w:rsidRDefault="00F05EB5" w:rsidP="003210C0">
      <w:pPr>
        <w:rPr>
          <w:rFonts w:eastAsia="Times New Roman" w:cs="Calibri"/>
          <w:bCs/>
          <w:szCs w:val="24"/>
        </w:rPr>
      </w:pPr>
    </w:p>
    <w:p w:rsidR="00533356" w:rsidRDefault="003210C0" w:rsidP="003210C0">
      <w:pPr>
        <w:rPr>
          <w:rFonts w:eastAsia="Times New Roman" w:cs="Calibri"/>
          <w:bCs/>
          <w:szCs w:val="24"/>
        </w:rPr>
      </w:pPr>
      <w:r w:rsidRPr="003210C0">
        <w:rPr>
          <w:rFonts w:eastAsia="Times New Roman" w:cs="Calibri"/>
          <w:bCs/>
          <w:szCs w:val="24"/>
        </w:rPr>
        <w:t xml:space="preserve">Cells in Peach and Pink may be modified by vendors if there are sound reasons for doing so, but doing so may complicate comparisons across bidders. Where these cells are changed, they must be shaded in </w:t>
      </w:r>
      <w:r w:rsidR="00AE4095">
        <w:rPr>
          <w:rFonts w:eastAsia="Times New Roman" w:cs="Calibri"/>
          <w:bCs/>
          <w:szCs w:val="24"/>
        </w:rPr>
        <w:t>orange (e.g.</w:t>
      </w:r>
      <w:proofErr w:type="gramStart"/>
      <w:r w:rsidR="00AE4095">
        <w:rPr>
          <w:rFonts w:eastAsia="Times New Roman" w:cs="Calibri"/>
          <w:bCs/>
          <w:szCs w:val="24"/>
        </w:rPr>
        <w:t xml:space="preserve">, </w:t>
      </w:r>
      <w:r w:rsidR="00AE4095">
        <w:rPr>
          <w:rFonts w:eastAsia="Times New Roman" w:cs="Calibri"/>
          <w:bCs/>
          <w:szCs w:val="24"/>
          <w:bdr w:val="single" w:sz="4" w:space="0" w:color="365F91" w:themeColor="accent1" w:themeShade="BF"/>
          <w:shd w:val="clear" w:color="auto" w:fill="FFC000"/>
        </w:rPr>
        <w:t xml:space="preserve"> </w:t>
      </w:r>
      <w:r w:rsidR="00AE4095" w:rsidRPr="00533356">
        <w:rPr>
          <w:rFonts w:asciiTheme="minorHAnsi" w:eastAsia="Times New Roman" w:hAnsiTheme="minorHAnsi" w:cstheme="minorHAnsi"/>
          <w:bCs/>
          <w:sz w:val="22"/>
          <w:szCs w:val="24"/>
          <w:bdr w:val="single" w:sz="4" w:space="0" w:color="365F91" w:themeColor="accent1" w:themeShade="BF"/>
          <w:shd w:val="clear" w:color="auto" w:fill="FFC000"/>
        </w:rPr>
        <w:t>Orange</w:t>
      </w:r>
      <w:proofErr w:type="gramEnd"/>
      <w:r w:rsidR="00AE4095">
        <w:rPr>
          <w:rFonts w:eastAsia="Times New Roman" w:cs="Calibri"/>
          <w:bCs/>
          <w:szCs w:val="24"/>
          <w:bdr w:val="single" w:sz="4" w:space="0" w:color="365F91" w:themeColor="accent1" w:themeShade="BF"/>
          <w:shd w:val="clear" w:color="auto" w:fill="FFC000"/>
        </w:rPr>
        <w:t xml:space="preserve"> </w:t>
      </w:r>
      <w:r w:rsidR="00AE4095">
        <w:rPr>
          <w:rFonts w:eastAsia="Times New Roman" w:cs="Calibri"/>
          <w:bCs/>
          <w:szCs w:val="24"/>
        </w:rPr>
        <w:t xml:space="preserve">) </w:t>
      </w:r>
      <w:r w:rsidRPr="003210C0">
        <w:rPr>
          <w:rFonts w:eastAsia="Times New Roman" w:cs="Calibri"/>
          <w:bCs/>
          <w:szCs w:val="24"/>
        </w:rPr>
        <w:t>to indicate that they have been changed, and bidders must explain in the associated cell in the "Bidder Notes" column how the cell was changed.</w:t>
      </w:r>
    </w:p>
    <w:p w:rsidR="00533356" w:rsidRDefault="00533356" w:rsidP="003210C0">
      <w:pPr>
        <w:rPr>
          <w:rFonts w:eastAsia="Times New Roman" w:cs="Calibri"/>
          <w:bCs/>
          <w:szCs w:val="24"/>
        </w:rPr>
      </w:pPr>
    </w:p>
    <w:p w:rsidR="003210C0" w:rsidRPr="003210C0" w:rsidRDefault="00533356" w:rsidP="003210C0">
      <w:pPr>
        <w:rPr>
          <w:rFonts w:eastAsia="Times New Roman" w:cs="Calibri"/>
          <w:bCs/>
          <w:szCs w:val="24"/>
        </w:rPr>
      </w:pPr>
      <w:r>
        <w:rPr>
          <w:rFonts w:eastAsia="Times New Roman" w:cs="Calibri"/>
          <w:bCs/>
          <w:szCs w:val="24"/>
        </w:rPr>
        <w:t>Bidders should delete any remaining yellow rows as a last step in completing the workbook.</w:t>
      </w:r>
    </w:p>
    <w:p w:rsidR="003210C0" w:rsidRPr="003210C0" w:rsidRDefault="003210C0" w:rsidP="003210C0">
      <w:pPr>
        <w:rPr>
          <w:rFonts w:eastAsia="Times New Roman" w:cs="Calibri"/>
          <w:bCs/>
          <w:szCs w:val="24"/>
        </w:rPr>
      </w:pPr>
    </w:p>
    <w:p w:rsidR="00533356" w:rsidRPr="00533356" w:rsidRDefault="003210C0" w:rsidP="003210C0">
      <w:pPr>
        <w:rPr>
          <w:rFonts w:asciiTheme="minorHAnsi" w:eastAsia="Times New Roman" w:hAnsiTheme="minorHAnsi" w:cstheme="minorHAnsi"/>
          <w:b/>
          <w:bCs/>
          <w:color w:val="365F91" w:themeColor="accent1" w:themeShade="BF"/>
          <w:szCs w:val="24"/>
        </w:rPr>
      </w:pPr>
      <w:r w:rsidRPr="00533356">
        <w:rPr>
          <w:rFonts w:asciiTheme="minorHAnsi" w:eastAsia="Times New Roman" w:hAnsiTheme="minorHAnsi" w:cstheme="minorHAnsi"/>
          <w:b/>
          <w:bCs/>
          <w:color w:val="365F91" w:themeColor="accent1" w:themeShade="BF"/>
          <w:szCs w:val="24"/>
        </w:rPr>
        <w:t>Adding and Deleting Line Items on th</w:t>
      </w:r>
      <w:r w:rsidR="00533356" w:rsidRPr="00533356">
        <w:rPr>
          <w:rFonts w:asciiTheme="minorHAnsi" w:eastAsia="Times New Roman" w:hAnsiTheme="minorHAnsi" w:cstheme="minorHAnsi"/>
          <w:b/>
          <w:bCs/>
          <w:color w:val="365F91" w:themeColor="accent1" w:themeShade="BF"/>
          <w:szCs w:val="24"/>
        </w:rPr>
        <w:t xml:space="preserve">e "Standard Pricing" </w:t>
      </w:r>
      <w:r w:rsidR="00533356">
        <w:rPr>
          <w:rFonts w:asciiTheme="minorHAnsi" w:eastAsia="Times New Roman" w:hAnsiTheme="minorHAnsi" w:cstheme="minorHAnsi"/>
          <w:b/>
          <w:bCs/>
          <w:color w:val="365F91" w:themeColor="accent1" w:themeShade="BF"/>
          <w:szCs w:val="24"/>
        </w:rPr>
        <w:t>tab of the Workbook</w:t>
      </w:r>
    </w:p>
    <w:p w:rsidR="00533356" w:rsidRDefault="00533356" w:rsidP="003210C0">
      <w:pPr>
        <w:rPr>
          <w:rFonts w:eastAsia="Times New Roman" w:cs="Calibri"/>
          <w:bCs/>
          <w:szCs w:val="24"/>
        </w:rPr>
      </w:pPr>
    </w:p>
    <w:p w:rsidR="003210C0" w:rsidRPr="003210C0" w:rsidRDefault="003210C0" w:rsidP="003210C0">
      <w:pPr>
        <w:rPr>
          <w:rFonts w:eastAsia="Times New Roman" w:cs="Calibri"/>
          <w:bCs/>
          <w:szCs w:val="24"/>
        </w:rPr>
      </w:pPr>
      <w:r w:rsidRPr="003210C0">
        <w:rPr>
          <w:rFonts w:eastAsia="Times New Roman" w:cs="Calibri"/>
          <w:bCs/>
          <w:szCs w:val="24"/>
        </w:rPr>
        <w:t>It may be appropriate to modify the lines on the "Standard Pricing" worksheet, but doing so may complicate comparisons across bidders. For example:</w:t>
      </w:r>
      <w:r w:rsidRPr="003210C0">
        <w:rPr>
          <w:rFonts w:eastAsia="Times New Roman" w:cs="Calibri"/>
          <w:bCs/>
          <w:szCs w:val="24"/>
        </w:rPr>
        <w:tab/>
      </w:r>
    </w:p>
    <w:p w:rsidR="003210C0" w:rsidRPr="003210C0" w:rsidRDefault="003210C0" w:rsidP="003210C0">
      <w:pPr>
        <w:rPr>
          <w:rFonts w:eastAsia="Times New Roman" w:cs="Calibri"/>
          <w:bCs/>
          <w:szCs w:val="24"/>
        </w:rPr>
      </w:pPr>
    </w:p>
    <w:p w:rsidR="003210C0" w:rsidRPr="003210C0" w:rsidRDefault="003210C0" w:rsidP="00533356">
      <w:pPr>
        <w:ind w:left="720" w:hanging="360"/>
        <w:rPr>
          <w:rFonts w:eastAsia="Times New Roman" w:cs="Calibri"/>
          <w:bCs/>
          <w:szCs w:val="24"/>
        </w:rPr>
      </w:pPr>
      <w:r w:rsidRPr="003210C0">
        <w:rPr>
          <w:rFonts w:eastAsia="Times New Roman" w:cs="Calibri"/>
          <w:bCs/>
          <w:szCs w:val="24"/>
        </w:rPr>
        <w:t>1</w:t>
      </w:r>
      <w:r w:rsidRPr="003210C0">
        <w:rPr>
          <w:rFonts w:eastAsia="Times New Roman" w:cs="Calibri"/>
          <w:bCs/>
          <w:szCs w:val="24"/>
        </w:rPr>
        <w:tab/>
        <w:t>Adding a line item to represent a deliverable or service not listed on the worksheet</w:t>
      </w:r>
    </w:p>
    <w:p w:rsidR="003210C0" w:rsidRPr="003210C0" w:rsidRDefault="003210C0" w:rsidP="00533356">
      <w:pPr>
        <w:ind w:left="720" w:hanging="360"/>
        <w:rPr>
          <w:rFonts w:eastAsia="Times New Roman" w:cs="Calibri"/>
          <w:bCs/>
          <w:szCs w:val="24"/>
        </w:rPr>
      </w:pPr>
      <w:r w:rsidRPr="003210C0">
        <w:rPr>
          <w:rFonts w:eastAsia="Times New Roman" w:cs="Calibri"/>
          <w:bCs/>
          <w:szCs w:val="24"/>
        </w:rPr>
        <w:t>2</w:t>
      </w:r>
      <w:r w:rsidRPr="003210C0">
        <w:rPr>
          <w:rFonts w:eastAsia="Times New Roman" w:cs="Calibri"/>
          <w:bCs/>
          <w:szCs w:val="24"/>
        </w:rPr>
        <w:tab/>
        <w:t>Splitting a line item to represent multiple costs conflated on the worksheet</w:t>
      </w:r>
    </w:p>
    <w:p w:rsidR="003210C0" w:rsidRPr="003210C0" w:rsidRDefault="003210C0" w:rsidP="00533356">
      <w:pPr>
        <w:ind w:left="720" w:hanging="360"/>
        <w:rPr>
          <w:rFonts w:eastAsia="Times New Roman" w:cs="Calibri"/>
          <w:bCs/>
          <w:szCs w:val="24"/>
        </w:rPr>
      </w:pPr>
      <w:r w:rsidRPr="003210C0">
        <w:rPr>
          <w:rFonts w:eastAsia="Times New Roman" w:cs="Calibri"/>
          <w:bCs/>
          <w:szCs w:val="24"/>
        </w:rPr>
        <w:t>3</w:t>
      </w:r>
      <w:r w:rsidRPr="003210C0">
        <w:rPr>
          <w:rFonts w:eastAsia="Times New Roman" w:cs="Calibri"/>
          <w:bCs/>
          <w:szCs w:val="24"/>
        </w:rPr>
        <w:tab/>
        <w:t>Modify a line item description to better represent a deliverable or service</w:t>
      </w:r>
    </w:p>
    <w:p w:rsidR="003210C0" w:rsidRPr="003210C0" w:rsidRDefault="003210C0" w:rsidP="00533356">
      <w:pPr>
        <w:rPr>
          <w:rFonts w:eastAsia="Times New Roman" w:cs="Calibri"/>
          <w:bCs/>
          <w:szCs w:val="24"/>
        </w:rPr>
      </w:pPr>
    </w:p>
    <w:p w:rsidR="003210C0" w:rsidRPr="003210C0" w:rsidRDefault="003210C0" w:rsidP="003210C0">
      <w:pPr>
        <w:rPr>
          <w:rFonts w:eastAsia="Times New Roman" w:cs="Calibri"/>
          <w:bCs/>
          <w:szCs w:val="24"/>
        </w:rPr>
      </w:pPr>
      <w:r w:rsidRPr="003210C0">
        <w:rPr>
          <w:rFonts w:eastAsia="Times New Roman" w:cs="Calibri"/>
          <w:bCs/>
          <w:szCs w:val="24"/>
        </w:rPr>
        <w:t xml:space="preserve">In all cases, bidders must highlight any modified line items in </w:t>
      </w:r>
      <w:r w:rsidR="00533356">
        <w:rPr>
          <w:rFonts w:eastAsia="Times New Roman" w:cs="Calibri"/>
          <w:bCs/>
          <w:szCs w:val="24"/>
        </w:rPr>
        <w:t>orange</w:t>
      </w:r>
      <w:r w:rsidRPr="003210C0">
        <w:rPr>
          <w:rFonts w:eastAsia="Times New Roman" w:cs="Calibri"/>
          <w:bCs/>
          <w:szCs w:val="24"/>
        </w:rPr>
        <w:t xml:space="preserve"> and describe in the </w:t>
      </w:r>
      <w:r w:rsidR="00533356">
        <w:rPr>
          <w:rFonts w:eastAsia="Times New Roman" w:cs="Calibri"/>
          <w:bCs/>
          <w:szCs w:val="24"/>
        </w:rPr>
        <w:t>“</w:t>
      </w:r>
      <w:r w:rsidRPr="003210C0">
        <w:rPr>
          <w:rFonts w:eastAsia="Times New Roman" w:cs="Calibri"/>
          <w:bCs/>
          <w:szCs w:val="24"/>
        </w:rPr>
        <w:t>Bidder Notes</w:t>
      </w:r>
      <w:r w:rsidR="00533356">
        <w:rPr>
          <w:rFonts w:eastAsia="Times New Roman" w:cs="Calibri"/>
          <w:bCs/>
          <w:szCs w:val="24"/>
        </w:rPr>
        <w:t>”</w:t>
      </w:r>
      <w:r w:rsidRPr="003210C0">
        <w:rPr>
          <w:rFonts w:eastAsia="Times New Roman" w:cs="Calibri"/>
          <w:bCs/>
          <w:szCs w:val="24"/>
        </w:rPr>
        <w:t xml:space="preserve"> column the changes made to the line items. Bidders must not delete line items. Rather, where a line item is extraneous, bid zero cost and explain in the </w:t>
      </w:r>
      <w:r w:rsidR="00533356">
        <w:rPr>
          <w:rFonts w:eastAsia="Times New Roman" w:cs="Calibri"/>
          <w:bCs/>
          <w:szCs w:val="24"/>
        </w:rPr>
        <w:t>“</w:t>
      </w:r>
      <w:r w:rsidRPr="003210C0">
        <w:rPr>
          <w:rFonts w:eastAsia="Times New Roman" w:cs="Calibri"/>
          <w:bCs/>
          <w:szCs w:val="24"/>
        </w:rPr>
        <w:t>Bidder Notes</w:t>
      </w:r>
      <w:r w:rsidR="00533356">
        <w:rPr>
          <w:rFonts w:eastAsia="Times New Roman" w:cs="Calibri"/>
          <w:bCs/>
          <w:szCs w:val="24"/>
        </w:rPr>
        <w:t>”</w:t>
      </w:r>
      <w:r w:rsidRPr="003210C0">
        <w:rPr>
          <w:rFonts w:eastAsia="Times New Roman" w:cs="Calibri"/>
          <w:bCs/>
          <w:szCs w:val="24"/>
        </w:rPr>
        <w:t xml:space="preserve"> </w:t>
      </w:r>
      <w:r w:rsidR="00533356">
        <w:rPr>
          <w:rFonts w:eastAsia="Times New Roman" w:cs="Calibri"/>
          <w:bCs/>
          <w:szCs w:val="24"/>
        </w:rPr>
        <w:t>why the line item is extraneous. Bidders may hide zero-cost line items for readability (i.e., using the capability of Microsoft Excel to hide rows).</w:t>
      </w:r>
    </w:p>
    <w:p w:rsidR="003210C0" w:rsidRPr="003210C0" w:rsidRDefault="003210C0" w:rsidP="003210C0">
      <w:pPr>
        <w:rPr>
          <w:rFonts w:eastAsia="Times New Roman" w:cs="Calibri"/>
          <w:bCs/>
          <w:szCs w:val="24"/>
        </w:rPr>
      </w:pPr>
    </w:p>
    <w:p w:rsidR="003210C0" w:rsidRPr="003210C0" w:rsidRDefault="003210C0" w:rsidP="003210C0">
      <w:pPr>
        <w:rPr>
          <w:rFonts w:eastAsia="Times New Roman" w:cs="Calibri"/>
          <w:bCs/>
          <w:szCs w:val="24"/>
        </w:rPr>
      </w:pPr>
      <w:r w:rsidRPr="003210C0">
        <w:rPr>
          <w:rFonts w:eastAsia="Times New Roman" w:cs="Calibri"/>
          <w:bCs/>
          <w:szCs w:val="24"/>
        </w:rPr>
        <w:t xml:space="preserve">Bidders must represent </w:t>
      </w:r>
      <w:r w:rsidRPr="00533356">
        <w:rPr>
          <w:rFonts w:eastAsia="Times New Roman" w:cs="Calibri"/>
          <w:bCs/>
          <w:szCs w:val="24"/>
          <w:u w:val="single"/>
        </w:rPr>
        <w:t>all</w:t>
      </w:r>
      <w:r w:rsidRPr="003210C0">
        <w:rPr>
          <w:rFonts w:eastAsia="Times New Roman" w:cs="Calibri"/>
          <w:bCs/>
          <w:szCs w:val="24"/>
        </w:rPr>
        <w:t xml:space="preserve"> costs for </w:t>
      </w:r>
      <w:r w:rsidRPr="00533356">
        <w:rPr>
          <w:rFonts w:eastAsia="Times New Roman" w:cs="Calibri"/>
          <w:bCs/>
          <w:szCs w:val="24"/>
          <w:u w:val="single"/>
        </w:rPr>
        <w:t>all</w:t>
      </w:r>
      <w:r w:rsidRPr="003210C0">
        <w:rPr>
          <w:rFonts w:eastAsia="Times New Roman" w:cs="Calibri"/>
          <w:bCs/>
          <w:szCs w:val="24"/>
        </w:rPr>
        <w:t xml:space="preserve"> services and deliverables within the structure of the </w:t>
      </w:r>
      <w:r w:rsidR="00533356">
        <w:rPr>
          <w:rFonts w:eastAsia="Times New Roman" w:cs="Calibri"/>
          <w:bCs/>
          <w:szCs w:val="24"/>
        </w:rPr>
        <w:t>“</w:t>
      </w:r>
      <w:r w:rsidRPr="003210C0">
        <w:rPr>
          <w:rFonts w:eastAsia="Times New Roman" w:cs="Calibri"/>
          <w:bCs/>
          <w:szCs w:val="24"/>
        </w:rPr>
        <w:t>Standard Pricing</w:t>
      </w:r>
      <w:r w:rsidR="00533356">
        <w:rPr>
          <w:rFonts w:eastAsia="Times New Roman" w:cs="Calibri"/>
          <w:bCs/>
          <w:szCs w:val="24"/>
        </w:rPr>
        <w:t>” tab of the workbook.</w:t>
      </w:r>
    </w:p>
    <w:p w:rsidR="003210C0" w:rsidRPr="003210C0" w:rsidRDefault="003210C0" w:rsidP="003210C0">
      <w:pPr>
        <w:rPr>
          <w:rFonts w:eastAsia="Times New Roman" w:cs="Calibri"/>
          <w:bCs/>
          <w:szCs w:val="24"/>
        </w:rPr>
      </w:pPr>
    </w:p>
    <w:p w:rsidR="003210C0" w:rsidRPr="00533356" w:rsidRDefault="003210C0" w:rsidP="003210C0">
      <w:pPr>
        <w:rPr>
          <w:rFonts w:asciiTheme="minorHAnsi" w:eastAsia="Times New Roman" w:hAnsiTheme="minorHAnsi" w:cstheme="minorHAnsi"/>
          <w:b/>
          <w:bCs/>
          <w:color w:val="365F91" w:themeColor="accent1" w:themeShade="BF"/>
          <w:szCs w:val="24"/>
        </w:rPr>
      </w:pPr>
      <w:r w:rsidRPr="00533356">
        <w:rPr>
          <w:rFonts w:asciiTheme="minorHAnsi" w:eastAsia="Times New Roman" w:hAnsiTheme="minorHAnsi" w:cstheme="minorHAnsi"/>
          <w:b/>
          <w:bCs/>
          <w:color w:val="365F91" w:themeColor="accent1" w:themeShade="BF"/>
          <w:szCs w:val="24"/>
        </w:rPr>
        <w:t>Adding and Deleting Line Items on the "Con</w:t>
      </w:r>
      <w:r w:rsidR="00533356" w:rsidRPr="00533356">
        <w:rPr>
          <w:rFonts w:asciiTheme="minorHAnsi" w:eastAsia="Times New Roman" w:hAnsiTheme="minorHAnsi" w:cstheme="minorHAnsi"/>
          <w:b/>
          <w:bCs/>
          <w:color w:val="365F91" w:themeColor="accent1" w:themeShade="BF"/>
          <w:szCs w:val="24"/>
        </w:rPr>
        <w:t xml:space="preserve">tract Change Pricing" </w:t>
      </w:r>
      <w:r w:rsidR="00533356">
        <w:rPr>
          <w:rFonts w:asciiTheme="minorHAnsi" w:eastAsia="Times New Roman" w:hAnsiTheme="minorHAnsi" w:cstheme="minorHAnsi"/>
          <w:b/>
          <w:bCs/>
          <w:color w:val="365F91" w:themeColor="accent1" w:themeShade="BF"/>
          <w:szCs w:val="24"/>
        </w:rPr>
        <w:t>Tab of the Workbook</w:t>
      </w:r>
    </w:p>
    <w:p w:rsidR="00533356" w:rsidRPr="003210C0" w:rsidRDefault="00533356" w:rsidP="003210C0">
      <w:pPr>
        <w:rPr>
          <w:rFonts w:eastAsia="Times New Roman" w:cs="Calibri"/>
          <w:bCs/>
          <w:szCs w:val="24"/>
        </w:rPr>
      </w:pPr>
    </w:p>
    <w:p w:rsidR="003210C0" w:rsidRPr="003210C0" w:rsidRDefault="003210C0" w:rsidP="003210C0">
      <w:pPr>
        <w:rPr>
          <w:rFonts w:eastAsia="Times New Roman" w:cs="Calibri"/>
          <w:bCs/>
          <w:szCs w:val="24"/>
        </w:rPr>
      </w:pPr>
      <w:r w:rsidRPr="003210C0">
        <w:rPr>
          <w:rFonts w:eastAsia="Times New Roman" w:cs="Calibri"/>
          <w:bCs/>
          <w:szCs w:val="24"/>
        </w:rPr>
        <w:t>It is expected that bidders will modify the line items for personnel on the "Contract Change Pricing" worksheet to adequately represent the range of personnel expected to perform the work specified in the bid. The personnel line items listed in the "Contract Change Pricing" worksheet are provided only as a small sa</w:t>
      </w:r>
      <w:r w:rsidR="00533356">
        <w:rPr>
          <w:rFonts w:eastAsia="Times New Roman" w:cs="Calibri"/>
          <w:bCs/>
          <w:szCs w:val="24"/>
        </w:rPr>
        <w:t>mple of what could be provided.</w:t>
      </w:r>
    </w:p>
    <w:p w:rsidR="003210C0" w:rsidRPr="003210C0" w:rsidRDefault="003210C0" w:rsidP="003210C0">
      <w:pPr>
        <w:rPr>
          <w:rFonts w:eastAsia="Times New Roman" w:cs="Calibri"/>
          <w:bCs/>
          <w:szCs w:val="24"/>
        </w:rPr>
      </w:pPr>
    </w:p>
    <w:p w:rsidR="003210C0" w:rsidRPr="00533356" w:rsidRDefault="003210C0" w:rsidP="003210C0">
      <w:pPr>
        <w:rPr>
          <w:rFonts w:eastAsia="Times New Roman" w:cs="Calibri"/>
          <w:bCs/>
          <w:szCs w:val="24"/>
        </w:rPr>
      </w:pPr>
      <w:r w:rsidRPr="00533356">
        <w:rPr>
          <w:rFonts w:eastAsia="Times New Roman" w:cs="Calibri"/>
          <w:bCs/>
          <w:szCs w:val="24"/>
        </w:rPr>
        <w:lastRenderedPageBreak/>
        <w:t xml:space="preserve">When a contract change request is developed, personnel resources costs for the contract change should come directly from the list of personnel resources submitted on the "Contract Change Pricing" </w:t>
      </w:r>
      <w:r w:rsidR="00533356">
        <w:rPr>
          <w:rFonts w:eastAsia="Times New Roman" w:cs="Calibri"/>
          <w:bCs/>
          <w:szCs w:val="24"/>
        </w:rPr>
        <w:t>tab</w:t>
      </w:r>
      <w:r w:rsidRPr="00533356">
        <w:rPr>
          <w:rFonts w:eastAsia="Times New Roman" w:cs="Calibri"/>
          <w:bCs/>
          <w:szCs w:val="24"/>
        </w:rPr>
        <w:t xml:space="preserve"> except in t</w:t>
      </w:r>
      <w:r w:rsidR="00533356">
        <w:rPr>
          <w:rFonts w:eastAsia="Times New Roman" w:cs="Calibri"/>
          <w:bCs/>
          <w:szCs w:val="24"/>
        </w:rPr>
        <w:t>ruly exceptional circumstances. Exceptional circumstances must be explained and justified in detail.</w:t>
      </w:r>
    </w:p>
    <w:sectPr w:rsidR="003210C0" w:rsidRPr="00533356" w:rsidSect="004326AB">
      <w:headerReference w:type="default" r:id="rId9"/>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60872" w:rsidRDefault="00060872" w:rsidP="004326AB">
      <w:r>
        <w:separator/>
      </w:r>
    </w:p>
  </w:endnote>
  <w:endnote w:type="continuationSeparator" w:id="0">
    <w:p w:rsidR="00060872" w:rsidRDefault="00060872" w:rsidP="004326A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0002A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60872" w:rsidRDefault="00060872" w:rsidP="004326AB">
      <w:r>
        <w:separator/>
      </w:r>
    </w:p>
  </w:footnote>
  <w:footnote w:type="continuationSeparator" w:id="0">
    <w:p w:rsidR="00060872" w:rsidRDefault="00060872" w:rsidP="004326A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tbl>
    <w:tblPr>
      <w:tblStyle w:val="APAReport"/>
      <w:tblW w:w="5000" w:type="pct"/>
      <w:tblBorders>
        <w:top w:val="none" w:sz="0" w:space="0" w:color="auto"/>
        <w:bottom w:val="none" w:sz="0" w:space="0" w:color="auto"/>
      </w:tblBorders>
      <w:tblCellMar>
        <w:left w:w="0" w:type="dxa"/>
        <w:right w:w="0" w:type="dxa"/>
      </w:tblCellMar>
      <w:tblLook w:val="04A0" w:firstRow="1" w:lastRow="0" w:firstColumn="1" w:lastColumn="0" w:noHBand="0" w:noVBand="1"/>
    </w:tblPr>
    <w:tblGrid>
      <w:gridCol w:w="319"/>
      <w:gridCol w:w="8924"/>
      <w:gridCol w:w="7"/>
      <w:gridCol w:w="110"/>
    </w:tblGrid>
    <w:tr w:rsidR="004326AB" w:rsidRPr="004326AB" w:rsidTr="004326AB">
      <w:trPr>
        <w:cnfStyle w:val="100000000000" w:firstRow="1" w:lastRow="0" w:firstColumn="0" w:lastColumn="0" w:oddVBand="0" w:evenVBand="0" w:oddHBand="0" w:evenHBand="0" w:firstRowFirstColumn="0" w:firstRowLastColumn="0" w:lastRowFirstColumn="0" w:lastRowLastColumn="0"/>
      </w:trPr>
      <w:tc>
        <w:tcPr>
          <w:tcW w:w="17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rsidR="004326AB" w:rsidRPr="004326AB" w:rsidRDefault="004326AB" w:rsidP="004326AB">
          <w:pPr>
            <w:pStyle w:val="Header"/>
            <w:rPr>
              <w:rFonts w:ascii="Garamond" w:hAnsi="Garamond"/>
              <w:b/>
              <w:i/>
              <w:sz w:val="20"/>
              <w:szCs w:val="20"/>
            </w:rPr>
          </w:pPr>
          <w:r w:rsidRPr="004326AB">
            <w:rPr>
              <w:b/>
              <w:noProof/>
              <w:sz w:val="20"/>
              <w:szCs w:val="20"/>
            </w:rPr>
            <w:drawing>
              <wp:inline distT="0" distB="0" distL="0" distR="0" wp14:anchorId="2200E45F" wp14:editId="1745D96B">
                <wp:extent cx="164592" cy="155448"/>
                <wp:effectExtent l="0" t="0" r="698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64592" cy="155448"/>
                        </a:xfrm>
                        <a:prstGeom prst="rect">
                          <a:avLst/>
                        </a:prstGeom>
                        <a:noFill/>
                        <a:ln>
                          <a:noFill/>
                        </a:ln>
                      </pic:spPr>
                    </pic:pic>
                  </a:graphicData>
                </a:graphic>
              </wp:inline>
            </w:drawing>
          </w:r>
        </w:p>
      </w:tc>
      <w:tc>
        <w:tcPr>
          <w:tcW w:w="4767"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rsidR="004326AB" w:rsidRPr="004326AB" w:rsidRDefault="004326AB" w:rsidP="004326AB">
          <w:pPr>
            <w:pStyle w:val="Header"/>
            <w:rPr>
              <w:rFonts w:ascii="Garamond" w:hAnsi="Garamond"/>
              <w:b/>
              <w:i/>
              <w:sz w:val="20"/>
              <w:szCs w:val="20"/>
            </w:rPr>
          </w:pPr>
          <w:r w:rsidRPr="004326AB">
            <w:rPr>
              <w:rFonts w:ascii="Garamond" w:hAnsi="Garamond"/>
              <w:i/>
              <w:sz w:val="20"/>
              <w:szCs w:val="20"/>
            </w:rPr>
            <w:t>Assessment RFP Development Toolkit – Model Bidder Instructions for Completing the Cost Proposal Workbook</w:t>
          </w:r>
        </w:p>
      </w:tc>
      <w:tc>
        <w:tcPr>
          <w:tcW w:w="4" w:type="pct"/>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rsidR="004326AB" w:rsidRPr="004326AB" w:rsidRDefault="004326AB" w:rsidP="004326AB">
          <w:pPr>
            <w:pStyle w:val="Heading1"/>
            <w:jc w:val="left"/>
            <w:outlineLvl w:val="0"/>
            <w:rPr>
              <w:rFonts w:ascii="Garamond" w:hAnsi="Garamond"/>
              <w:sz w:val="20"/>
              <w:szCs w:val="20"/>
            </w:rPr>
          </w:pPr>
        </w:p>
      </w:tc>
      <w:tc>
        <w:tcPr>
          <w:tcW w:w="59"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rsidR="004326AB" w:rsidRPr="004326AB" w:rsidRDefault="004326AB" w:rsidP="004326AB">
          <w:pPr>
            <w:pStyle w:val="Header"/>
            <w:jc w:val="right"/>
            <w:rPr>
              <w:rFonts w:ascii="Garamond" w:hAnsi="Garamond"/>
              <w:b/>
              <w:i/>
              <w:sz w:val="20"/>
              <w:szCs w:val="20"/>
            </w:rPr>
          </w:pPr>
          <w:r w:rsidRPr="004326AB">
            <w:rPr>
              <w:b/>
              <w:sz w:val="20"/>
              <w:szCs w:val="20"/>
            </w:rPr>
            <w:fldChar w:fldCharType="begin"/>
          </w:r>
          <w:r w:rsidRPr="004326AB">
            <w:rPr>
              <w:rFonts w:ascii="Garamond" w:hAnsi="Garamond"/>
              <w:sz w:val="20"/>
              <w:szCs w:val="20"/>
            </w:rPr>
            <w:instrText xml:space="preserve"> PAGE   \* MERGEFORMAT </w:instrText>
          </w:r>
          <w:r w:rsidRPr="004326AB">
            <w:rPr>
              <w:b/>
              <w:sz w:val="20"/>
              <w:szCs w:val="20"/>
            </w:rPr>
            <w:fldChar w:fldCharType="separate"/>
          </w:r>
          <w:r w:rsidR="00AA2551" w:rsidRPr="00AA2551">
            <w:rPr>
              <w:rFonts w:ascii="Garamond" w:hAnsi="Garamond"/>
              <w:i/>
              <w:noProof/>
              <w:sz w:val="20"/>
              <w:szCs w:val="20"/>
            </w:rPr>
            <w:t>2</w:t>
          </w:r>
          <w:r w:rsidRPr="004326AB">
            <w:rPr>
              <w:b/>
              <w:i/>
              <w:noProof/>
              <w:sz w:val="20"/>
              <w:szCs w:val="20"/>
            </w:rPr>
            <w:fldChar w:fldCharType="end"/>
          </w:r>
        </w:p>
      </w:tc>
    </w:tr>
    <w:tr w:rsidR="004326AB" w:rsidRPr="004326AB" w:rsidTr="004326AB">
      <w:tc>
        <w:tcPr>
          <w:tcW w:w="170" w:type="pct"/>
          <w:vAlign w:val="center"/>
        </w:tcPr>
        <w:p w:rsidR="004326AB" w:rsidRPr="004326AB" w:rsidRDefault="004326AB" w:rsidP="004326AB">
          <w:pPr>
            <w:pStyle w:val="Header"/>
            <w:rPr>
              <w:rFonts w:ascii="Garamond" w:hAnsi="Garamond"/>
              <w:b/>
              <w:sz w:val="20"/>
              <w:szCs w:val="20"/>
            </w:rPr>
          </w:pPr>
        </w:p>
      </w:tc>
      <w:tc>
        <w:tcPr>
          <w:tcW w:w="4767" w:type="pct"/>
          <w:vAlign w:val="center"/>
        </w:tcPr>
        <w:p w:rsidR="004326AB" w:rsidRPr="004326AB" w:rsidRDefault="004326AB" w:rsidP="004326AB">
          <w:pPr>
            <w:pStyle w:val="Header"/>
            <w:rPr>
              <w:rFonts w:ascii="Garamond" w:hAnsi="Garamond"/>
              <w:b/>
              <w:i/>
              <w:sz w:val="20"/>
              <w:szCs w:val="20"/>
            </w:rPr>
          </w:pPr>
        </w:p>
      </w:tc>
      <w:tc>
        <w:tcPr>
          <w:tcW w:w="4" w:type="pct"/>
          <w:vMerge/>
          <w:vAlign w:val="center"/>
        </w:tcPr>
        <w:p w:rsidR="004326AB" w:rsidRPr="004326AB" w:rsidRDefault="004326AB" w:rsidP="004326AB">
          <w:pPr>
            <w:pStyle w:val="Header"/>
            <w:jc w:val="right"/>
            <w:rPr>
              <w:rFonts w:ascii="Garamond" w:hAnsi="Garamond"/>
              <w:b/>
              <w:i/>
              <w:sz w:val="20"/>
              <w:szCs w:val="20"/>
            </w:rPr>
          </w:pPr>
        </w:p>
      </w:tc>
      <w:tc>
        <w:tcPr>
          <w:tcW w:w="59" w:type="pct"/>
        </w:tcPr>
        <w:p w:rsidR="004326AB" w:rsidRPr="004326AB" w:rsidRDefault="004326AB" w:rsidP="004326AB">
          <w:pPr>
            <w:pStyle w:val="Header"/>
            <w:jc w:val="right"/>
            <w:rPr>
              <w:rFonts w:ascii="Garamond" w:hAnsi="Garamond"/>
              <w:b/>
              <w:i/>
              <w:sz w:val="20"/>
              <w:szCs w:val="20"/>
            </w:rPr>
          </w:pPr>
        </w:p>
      </w:tc>
    </w:tr>
  </w:tbl>
  <w:p w:rsidR="004326AB" w:rsidRPr="004326AB" w:rsidRDefault="004326AB">
    <w:pPr>
      <w:pStyle w:val="Header"/>
      <w:rPr>
        <w:sz w:val="2"/>
        <w:szCs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6B03C60"/>
    <w:multiLevelType w:val="hybridMultilevel"/>
    <w:tmpl w:val="EE805DB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nsid w:val="2BF46AF6"/>
    <w:multiLevelType w:val="hybridMultilevel"/>
    <w:tmpl w:val="48CC522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nsid w:val="399829DF"/>
    <w:multiLevelType w:val="hybridMultilevel"/>
    <w:tmpl w:val="08BC736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54D40F31"/>
    <w:multiLevelType w:val="hybridMultilevel"/>
    <w:tmpl w:val="D5F47F8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73DF7618"/>
    <w:multiLevelType w:val="hybridMultilevel"/>
    <w:tmpl w:val="AAB0C8A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7A7234CA"/>
    <w:multiLevelType w:val="hybridMultilevel"/>
    <w:tmpl w:val="E68E7F5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5"/>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C59CD"/>
    <w:rsid w:val="0004014A"/>
    <w:rsid w:val="00043E4D"/>
    <w:rsid w:val="00060872"/>
    <w:rsid w:val="000711EA"/>
    <w:rsid w:val="000949D7"/>
    <w:rsid w:val="000A494B"/>
    <w:rsid w:val="000C2A89"/>
    <w:rsid w:val="000C76B2"/>
    <w:rsid w:val="000D1BB5"/>
    <w:rsid w:val="00102087"/>
    <w:rsid w:val="0011645E"/>
    <w:rsid w:val="00153171"/>
    <w:rsid w:val="0016110E"/>
    <w:rsid w:val="001A6A31"/>
    <w:rsid w:val="001D5A73"/>
    <w:rsid w:val="00203172"/>
    <w:rsid w:val="00227DA1"/>
    <w:rsid w:val="00230424"/>
    <w:rsid w:val="00230490"/>
    <w:rsid w:val="00245AA8"/>
    <w:rsid w:val="002510B0"/>
    <w:rsid w:val="002811B6"/>
    <w:rsid w:val="002A7052"/>
    <w:rsid w:val="002D2451"/>
    <w:rsid w:val="002D45E7"/>
    <w:rsid w:val="002D588C"/>
    <w:rsid w:val="002E1198"/>
    <w:rsid w:val="002F068F"/>
    <w:rsid w:val="003210C0"/>
    <w:rsid w:val="003949ED"/>
    <w:rsid w:val="003A144C"/>
    <w:rsid w:val="003A1F83"/>
    <w:rsid w:val="003B5CA7"/>
    <w:rsid w:val="003D27DB"/>
    <w:rsid w:val="003E2A57"/>
    <w:rsid w:val="003E31BF"/>
    <w:rsid w:val="003E69E2"/>
    <w:rsid w:val="00402E66"/>
    <w:rsid w:val="00413222"/>
    <w:rsid w:val="004326AB"/>
    <w:rsid w:val="00446E8C"/>
    <w:rsid w:val="00455F56"/>
    <w:rsid w:val="00472B49"/>
    <w:rsid w:val="004A54EB"/>
    <w:rsid w:val="004B1B95"/>
    <w:rsid w:val="004B63DC"/>
    <w:rsid w:val="004D0FF5"/>
    <w:rsid w:val="004D7791"/>
    <w:rsid w:val="005219A7"/>
    <w:rsid w:val="00533356"/>
    <w:rsid w:val="00554B3E"/>
    <w:rsid w:val="00554FE0"/>
    <w:rsid w:val="00584A76"/>
    <w:rsid w:val="005A0CEB"/>
    <w:rsid w:val="005D34A8"/>
    <w:rsid w:val="005D53CE"/>
    <w:rsid w:val="00634AEA"/>
    <w:rsid w:val="006528A9"/>
    <w:rsid w:val="00653884"/>
    <w:rsid w:val="006B142F"/>
    <w:rsid w:val="006B1D66"/>
    <w:rsid w:val="006B1DA5"/>
    <w:rsid w:val="006C180D"/>
    <w:rsid w:val="006C20C8"/>
    <w:rsid w:val="006D0E3A"/>
    <w:rsid w:val="006D2D3D"/>
    <w:rsid w:val="006D43F0"/>
    <w:rsid w:val="006E09B4"/>
    <w:rsid w:val="006E60FE"/>
    <w:rsid w:val="006F5634"/>
    <w:rsid w:val="0072209D"/>
    <w:rsid w:val="007373F5"/>
    <w:rsid w:val="00761234"/>
    <w:rsid w:val="007759B6"/>
    <w:rsid w:val="007B3043"/>
    <w:rsid w:val="007B4BA8"/>
    <w:rsid w:val="007F4E43"/>
    <w:rsid w:val="007F54C0"/>
    <w:rsid w:val="008052D1"/>
    <w:rsid w:val="00823370"/>
    <w:rsid w:val="00824D8D"/>
    <w:rsid w:val="0084351E"/>
    <w:rsid w:val="00845F4E"/>
    <w:rsid w:val="0085758A"/>
    <w:rsid w:val="008600C8"/>
    <w:rsid w:val="008B3570"/>
    <w:rsid w:val="008E435D"/>
    <w:rsid w:val="00983B4F"/>
    <w:rsid w:val="009B6C33"/>
    <w:rsid w:val="009C5A9A"/>
    <w:rsid w:val="00A10FAC"/>
    <w:rsid w:val="00A20E16"/>
    <w:rsid w:val="00A32D5F"/>
    <w:rsid w:val="00A37B6E"/>
    <w:rsid w:val="00A550EC"/>
    <w:rsid w:val="00A66B91"/>
    <w:rsid w:val="00A87C47"/>
    <w:rsid w:val="00A9105A"/>
    <w:rsid w:val="00AA2551"/>
    <w:rsid w:val="00AD7D9D"/>
    <w:rsid w:val="00AE02C8"/>
    <w:rsid w:val="00AE4095"/>
    <w:rsid w:val="00AF51E0"/>
    <w:rsid w:val="00AF5635"/>
    <w:rsid w:val="00AF68E1"/>
    <w:rsid w:val="00B03096"/>
    <w:rsid w:val="00B31FCA"/>
    <w:rsid w:val="00B64EFF"/>
    <w:rsid w:val="00B82084"/>
    <w:rsid w:val="00B828F1"/>
    <w:rsid w:val="00B85E76"/>
    <w:rsid w:val="00BC2D71"/>
    <w:rsid w:val="00BD30C1"/>
    <w:rsid w:val="00BD3C13"/>
    <w:rsid w:val="00BD684D"/>
    <w:rsid w:val="00BD6D62"/>
    <w:rsid w:val="00BE4751"/>
    <w:rsid w:val="00BF2FED"/>
    <w:rsid w:val="00BF593B"/>
    <w:rsid w:val="00C07715"/>
    <w:rsid w:val="00C16864"/>
    <w:rsid w:val="00C372F9"/>
    <w:rsid w:val="00C43E85"/>
    <w:rsid w:val="00C7572F"/>
    <w:rsid w:val="00C919EC"/>
    <w:rsid w:val="00C96E40"/>
    <w:rsid w:val="00CA1D85"/>
    <w:rsid w:val="00CC59CD"/>
    <w:rsid w:val="00CC7692"/>
    <w:rsid w:val="00CC793E"/>
    <w:rsid w:val="00CD3475"/>
    <w:rsid w:val="00CE7B6B"/>
    <w:rsid w:val="00D04FCB"/>
    <w:rsid w:val="00D07279"/>
    <w:rsid w:val="00D16E34"/>
    <w:rsid w:val="00D37B0F"/>
    <w:rsid w:val="00D7469B"/>
    <w:rsid w:val="00D97A78"/>
    <w:rsid w:val="00DB5F7A"/>
    <w:rsid w:val="00DD5D53"/>
    <w:rsid w:val="00DE09EC"/>
    <w:rsid w:val="00DE0CFC"/>
    <w:rsid w:val="00DF6250"/>
    <w:rsid w:val="00E056F1"/>
    <w:rsid w:val="00E05FA6"/>
    <w:rsid w:val="00E131DC"/>
    <w:rsid w:val="00E35E1E"/>
    <w:rsid w:val="00E54D3A"/>
    <w:rsid w:val="00E57555"/>
    <w:rsid w:val="00E64A20"/>
    <w:rsid w:val="00E91B37"/>
    <w:rsid w:val="00ED4C41"/>
    <w:rsid w:val="00EE7BDA"/>
    <w:rsid w:val="00EF50E3"/>
    <w:rsid w:val="00EF79C5"/>
    <w:rsid w:val="00F05EB5"/>
    <w:rsid w:val="00F42D12"/>
    <w:rsid w:val="00F43249"/>
    <w:rsid w:val="00F55620"/>
    <w:rsid w:val="00FB1FA0"/>
    <w:rsid w:val="00FC218E"/>
    <w:rsid w:val="00FC7B64"/>
    <w:rsid w:val="00FD41A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HAnsi" w:hAnsi="Garamond"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59CD"/>
    <w:rPr>
      <w:sz w:val="24"/>
    </w:rPr>
  </w:style>
  <w:style w:type="paragraph" w:styleId="Heading1">
    <w:name w:val="heading 1"/>
    <w:next w:val="Normal"/>
    <w:link w:val="Heading1Char"/>
    <w:autoRedefine/>
    <w:uiPriority w:val="9"/>
    <w:qFormat/>
    <w:rsid w:val="004326AB"/>
    <w:pPr>
      <w:keepNext/>
      <w:keepLines/>
      <w:jc w:val="center"/>
      <w:outlineLvl w:val="0"/>
    </w:pPr>
    <w:rPr>
      <w:rFonts w:ascii="Calibri" w:eastAsiaTheme="majorEastAsia" w:hAnsi="Calibri" w:cstheme="majorBidi"/>
      <w:b/>
      <w:bCs/>
      <w:smallCaps/>
      <w:color w:val="365F91" w:themeColor="accent1" w:themeShade="BF"/>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59CD"/>
    <w:pPr>
      <w:ind w:left="720"/>
      <w:contextualSpacing/>
    </w:pPr>
  </w:style>
  <w:style w:type="paragraph" w:styleId="BalloonText">
    <w:name w:val="Balloon Text"/>
    <w:basedOn w:val="Normal"/>
    <w:link w:val="BalloonTextChar"/>
    <w:uiPriority w:val="99"/>
    <w:semiHidden/>
    <w:unhideWhenUsed/>
    <w:rsid w:val="00CC59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9CD"/>
    <w:rPr>
      <w:rFonts w:ascii="Segoe UI" w:hAnsi="Segoe UI" w:cs="Segoe UI"/>
      <w:sz w:val="18"/>
      <w:szCs w:val="18"/>
    </w:rPr>
  </w:style>
  <w:style w:type="paragraph" w:styleId="Title">
    <w:name w:val="Title"/>
    <w:next w:val="Normal"/>
    <w:link w:val="TitleChar"/>
    <w:uiPriority w:val="1"/>
    <w:qFormat/>
    <w:rsid w:val="00A32D5F"/>
    <w:pPr>
      <w:jc w:val="center"/>
    </w:pPr>
    <w:rPr>
      <w:rFonts w:ascii="Calibri" w:eastAsiaTheme="majorEastAsia" w:hAnsi="Calibri" w:cstheme="majorBidi"/>
      <w:b/>
      <w:bCs/>
      <w:noProof/>
      <w:color w:val="365F91" w:themeColor="accent1" w:themeShade="BF"/>
      <w:sz w:val="36"/>
      <w:szCs w:val="24"/>
    </w:rPr>
  </w:style>
  <w:style w:type="character" w:customStyle="1" w:styleId="TitleChar">
    <w:name w:val="Title Char"/>
    <w:basedOn w:val="DefaultParagraphFont"/>
    <w:link w:val="Title"/>
    <w:uiPriority w:val="1"/>
    <w:rsid w:val="00A32D5F"/>
    <w:rPr>
      <w:rFonts w:ascii="Calibri" w:eastAsiaTheme="majorEastAsia" w:hAnsi="Calibri" w:cstheme="majorBidi"/>
      <w:b/>
      <w:bCs/>
      <w:noProof/>
      <w:color w:val="365F91" w:themeColor="accent1" w:themeShade="BF"/>
      <w:sz w:val="36"/>
      <w:szCs w:val="24"/>
    </w:rPr>
  </w:style>
  <w:style w:type="table" w:customStyle="1" w:styleId="APAReport">
    <w:name w:val="APA Report"/>
    <w:basedOn w:val="TableNormal"/>
    <w:uiPriority w:val="99"/>
    <w:rsid w:val="00A32D5F"/>
    <w:rPr>
      <w:rFonts w:asciiTheme="minorHAnsi" w:eastAsiaTheme="minorEastAsia" w:hAnsiTheme="minorHAnsi"/>
      <w:color w:val="000000" w:themeColor="text1"/>
      <w:sz w:val="24"/>
      <w:szCs w:val="24"/>
      <w:lang w:eastAsia="ja-JP"/>
    </w:rPr>
    <w:tblPr>
      <w:tblBorders>
        <w:top w:val="single" w:sz="12" w:space="0" w:color="auto"/>
        <w:bottom w:val="single" w:sz="12" w:space="0" w:color="auto"/>
      </w:tblBorders>
    </w:tblPr>
    <w:tblStylePr w:type="firstRow">
      <w:tblPr/>
      <w:tcPr>
        <w:tcBorders>
          <w:top w:val="single" w:sz="12" w:space="0" w:color="auto"/>
          <w:left w:val="nil"/>
          <w:bottom w:val="single" w:sz="12" w:space="0" w:color="auto"/>
          <w:right w:val="nil"/>
          <w:insideH w:val="nil"/>
          <w:insideV w:val="nil"/>
          <w:tl2br w:val="nil"/>
          <w:tr2bl w:val="nil"/>
        </w:tcBorders>
      </w:tcPr>
    </w:tblStylePr>
  </w:style>
  <w:style w:type="table" w:styleId="TableGrid">
    <w:name w:val="Table Grid"/>
    <w:basedOn w:val="TableNormal"/>
    <w:uiPriority w:val="59"/>
    <w:rsid w:val="00F05E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qFormat/>
    <w:rsid w:val="004326AB"/>
    <w:pPr>
      <w:tabs>
        <w:tab w:val="center" w:pos="4680"/>
        <w:tab w:val="right" w:pos="9360"/>
      </w:tabs>
    </w:pPr>
  </w:style>
  <w:style w:type="character" w:customStyle="1" w:styleId="HeaderChar">
    <w:name w:val="Header Char"/>
    <w:basedOn w:val="DefaultParagraphFont"/>
    <w:link w:val="Header"/>
    <w:uiPriority w:val="99"/>
    <w:rsid w:val="004326AB"/>
    <w:rPr>
      <w:sz w:val="24"/>
    </w:rPr>
  </w:style>
  <w:style w:type="paragraph" w:styleId="Footer">
    <w:name w:val="footer"/>
    <w:basedOn w:val="Normal"/>
    <w:link w:val="FooterChar"/>
    <w:uiPriority w:val="99"/>
    <w:unhideWhenUsed/>
    <w:rsid w:val="004326AB"/>
    <w:pPr>
      <w:tabs>
        <w:tab w:val="center" w:pos="4680"/>
        <w:tab w:val="right" w:pos="9360"/>
      </w:tabs>
    </w:pPr>
  </w:style>
  <w:style w:type="character" w:customStyle="1" w:styleId="FooterChar">
    <w:name w:val="Footer Char"/>
    <w:basedOn w:val="DefaultParagraphFont"/>
    <w:link w:val="Footer"/>
    <w:uiPriority w:val="99"/>
    <w:rsid w:val="004326AB"/>
    <w:rPr>
      <w:sz w:val="24"/>
    </w:rPr>
  </w:style>
  <w:style w:type="character" w:customStyle="1" w:styleId="Heading1Char">
    <w:name w:val="Heading 1 Char"/>
    <w:basedOn w:val="DefaultParagraphFont"/>
    <w:link w:val="Heading1"/>
    <w:uiPriority w:val="9"/>
    <w:rsid w:val="004326AB"/>
    <w:rPr>
      <w:rFonts w:ascii="Calibri" w:eastAsiaTheme="majorEastAsia" w:hAnsi="Calibri" w:cstheme="majorBidi"/>
      <w:b/>
      <w:bCs/>
      <w:smallCaps/>
      <w:color w:val="365F91" w:themeColor="accent1" w:themeShade="BF"/>
      <w:sz w:val="24"/>
      <w:szCs w:val="24"/>
      <w:lang w:eastAsia="ja-JP"/>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HAnsi" w:hAnsi="Garamond" w:cstheme="minorBidi"/>
        <w:sz w:val="22"/>
        <w:szCs w:val="22"/>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qFormat="1"/>
    <w:lsdException w:name="caption" w:uiPriority="35" w:qFormat="1"/>
    <w:lsdException w:name="Title" w:semiHidden="0" w:uiPriority="1"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C59CD"/>
    <w:rPr>
      <w:sz w:val="24"/>
    </w:rPr>
  </w:style>
  <w:style w:type="paragraph" w:styleId="Heading1">
    <w:name w:val="heading 1"/>
    <w:next w:val="Normal"/>
    <w:link w:val="Heading1Char"/>
    <w:autoRedefine/>
    <w:uiPriority w:val="9"/>
    <w:qFormat/>
    <w:rsid w:val="004326AB"/>
    <w:pPr>
      <w:keepNext/>
      <w:keepLines/>
      <w:jc w:val="center"/>
      <w:outlineLvl w:val="0"/>
    </w:pPr>
    <w:rPr>
      <w:rFonts w:ascii="Calibri" w:eastAsiaTheme="majorEastAsia" w:hAnsi="Calibri" w:cstheme="majorBidi"/>
      <w:b/>
      <w:bCs/>
      <w:smallCaps/>
      <w:color w:val="365F91" w:themeColor="accent1" w:themeShade="BF"/>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CC59CD"/>
    <w:pPr>
      <w:ind w:left="720"/>
      <w:contextualSpacing/>
    </w:pPr>
  </w:style>
  <w:style w:type="paragraph" w:styleId="BalloonText">
    <w:name w:val="Balloon Text"/>
    <w:basedOn w:val="Normal"/>
    <w:link w:val="BalloonTextChar"/>
    <w:uiPriority w:val="99"/>
    <w:semiHidden/>
    <w:unhideWhenUsed/>
    <w:rsid w:val="00CC59CD"/>
    <w:rPr>
      <w:rFonts w:ascii="Segoe UI" w:hAnsi="Segoe UI" w:cs="Segoe UI"/>
      <w:sz w:val="18"/>
      <w:szCs w:val="18"/>
    </w:rPr>
  </w:style>
  <w:style w:type="character" w:customStyle="1" w:styleId="BalloonTextChar">
    <w:name w:val="Balloon Text Char"/>
    <w:basedOn w:val="DefaultParagraphFont"/>
    <w:link w:val="BalloonText"/>
    <w:uiPriority w:val="99"/>
    <w:semiHidden/>
    <w:rsid w:val="00CC59CD"/>
    <w:rPr>
      <w:rFonts w:ascii="Segoe UI" w:hAnsi="Segoe UI" w:cs="Segoe UI"/>
      <w:sz w:val="18"/>
      <w:szCs w:val="18"/>
    </w:rPr>
  </w:style>
  <w:style w:type="paragraph" w:styleId="Title">
    <w:name w:val="Title"/>
    <w:next w:val="Normal"/>
    <w:link w:val="TitleChar"/>
    <w:uiPriority w:val="1"/>
    <w:qFormat/>
    <w:rsid w:val="00A32D5F"/>
    <w:pPr>
      <w:jc w:val="center"/>
    </w:pPr>
    <w:rPr>
      <w:rFonts w:ascii="Calibri" w:eastAsiaTheme="majorEastAsia" w:hAnsi="Calibri" w:cstheme="majorBidi"/>
      <w:b/>
      <w:bCs/>
      <w:noProof/>
      <w:color w:val="365F91" w:themeColor="accent1" w:themeShade="BF"/>
      <w:sz w:val="36"/>
      <w:szCs w:val="24"/>
    </w:rPr>
  </w:style>
  <w:style w:type="character" w:customStyle="1" w:styleId="TitleChar">
    <w:name w:val="Title Char"/>
    <w:basedOn w:val="DefaultParagraphFont"/>
    <w:link w:val="Title"/>
    <w:uiPriority w:val="1"/>
    <w:rsid w:val="00A32D5F"/>
    <w:rPr>
      <w:rFonts w:ascii="Calibri" w:eastAsiaTheme="majorEastAsia" w:hAnsi="Calibri" w:cstheme="majorBidi"/>
      <w:b/>
      <w:bCs/>
      <w:noProof/>
      <w:color w:val="365F91" w:themeColor="accent1" w:themeShade="BF"/>
      <w:sz w:val="36"/>
      <w:szCs w:val="24"/>
    </w:rPr>
  </w:style>
  <w:style w:type="table" w:customStyle="1" w:styleId="APAReport">
    <w:name w:val="APA Report"/>
    <w:basedOn w:val="TableNormal"/>
    <w:uiPriority w:val="99"/>
    <w:rsid w:val="00A32D5F"/>
    <w:rPr>
      <w:rFonts w:asciiTheme="minorHAnsi" w:eastAsiaTheme="minorEastAsia" w:hAnsiTheme="minorHAnsi"/>
      <w:color w:val="000000" w:themeColor="text1"/>
      <w:sz w:val="24"/>
      <w:szCs w:val="24"/>
      <w:lang w:eastAsia="ja-JP"/>
    </w:rPr>
    <w:tblPr>
      <w:tblBorders>
        <w:top w:val="single" w:sz="12" w:space="0" w:color="auto"/>
        <w:bottom w:val="single" w:sz="12" w:space="0" w:color="auto"/>
      </w:tblBorders>
    </w:tblPr>
    <w:tblStylePr w:type="firstRow">
      <w:tblPr/>
      <w:tcPr>
        <w:tcBorders>
          <w:top w:val="single" w:sz="12" w:space="0" w:color="auto"/>
          <w:left w:val="nil"/>
          <w:bottom w:val="single" w:sz="12" w:space="0" w:color="auto"/>
          <w:right w:val="nil"/>
          <w:insideH w:val="nil"/>
          <w:insideV w:val="nil"/>
          <w:tl2br w:val="nil"/>
          <w:tr2bl w:val="nil"/>
        </w:tcBorders>
      </w:tcPr>
    </w:tblStylePr>
  </w:style>
  <w:style w:type="table" w:styleId="TableGrid">
    <w:name w:val="Table Grid"/>
    <w:basedOn w:val="TableNormal"/>
    <w:uiPriority w:val="59"/>
    <w:rsid w:val="00F05E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iPriority w:val="99"/>
    <w:unhideWhenUsed/>
    <w:qFormat/>
    <w:rsid w:val="004326AB"/>
    <w:pPr>
      <w:tabs>
        <w:tab w:val="center" w:pos="4680"/>
        <w:tab w:val="right" w:pos="9360"/>
      </w:tabs>
    </w:pPr>
  </w:style>
  <w:style w:type="character" w:customStyle="1" w:styleId="HeaderChar">
    <w:name w:val="Header Char"/>
    <w:basedOn w:val="DefaultParagraphFont"/>
    <w:link w:val="Header"/>
    <w:uiPriority w:val="99"/>
    <w:rsid w:val="004326AB"/>
    <w:rPr>
      <w:sz w:val="24"/>
    </w:rPr>
  </w:style>
  <w:style w:type="paragraph" w:styleId="Footer">
    <w:name w:val="footer"/>
    <w:basedOn w:val="Normal"/>
    <w:link w:val="FooterChar"/>
    <w:uiPriority w:val="99"/>
    <w:unhideWhenUsed/>
    <w:rsid w:val="004326AB"/>
    <w:pPr>
      <w:tabs>
        <w:tab w:val="center" w:pos="4680"/>
        <w:tab w:val="right" w:pos="9360"/>
      </w:tabs>
    </w:pPr>
  </w:style>
  <w:style w:type="character" w:customStyle="1" w:styleId="FooterChar">
    <w:name w:val="Footer Char"/>
    <w:basedOn w:val="DefaultParagraphFont"/>
    <w:link w:val="Footer"/>
    <w:uiPriority w:val="99"/>
    <w:rsid w:val="004326AB"/>
    <w:rPr>
      <w:sz w:val="24"/>
    </w:rPr>
  </w:style>
  <w:style w:type="character" w:customStyle="1" w:styleId="Heading1Char">
    <w:name w:val="Heading 1 Char"/>
    <w:basedOn w:val="DefaultParagraphFont"/>
    <w:link w:val="Heading1"/>
    <w:uiPriority w:val="9"/>
    <w:rsid w:val="004326AB"/>
    <w:rPr>
      <w:rFonts w:ascii="Calibri" w:eastAsiaTheme="majorEastAsia" w:hAnsi="Calibri" w:cstheme="majorBidi"/>
      <w:b/>
      <w:bCs/>
      <w:smallCaps/>
      <w:color w:val="365F91" w:themeColor="accent1" w:themeShade="BF"/>
      <w:sz w:val="24"/>
      <w:szCs w:val="24"/>
      <w:lang w:eastAsia="ja-JP"/>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0315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em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4</Pages>
  <Words>1179</Words>
  <Characters>6725</Characters>
  <Application>Microsoft Office Word</Application>
  <DocSecurity>0</DocSecurity>
  <Lines>56</Lines>
  <Paragraphs>15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7889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Joseph Martineau</dc:creator>
  <cp:lastModifiedBy>Lauralee McGuane</cp:lastModifiedBy>
  <cp:revision>2</cp:revision>
  <dcterms:created xsi:type="dcterms:W3CDTF">2018-05-16T15:19:00Z</dcterms:created>
  <dcterms:modified xsi:type="dcterms:W3CDTF">2018-05-16T15:19:00Z</dcterms:modified>
</cp:coreProperties>
</file>